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FA780A" w14:textId="77777777" w:rsidR="00164D60" w:rsidRPr="004202A8" w:rsidRDefault="00164D60" w:rsidP="004202A8">
      <w:pPr>
        <w:spacing w:before="120" w:after="120" w:line="260" w:lineRule="atLeast"/>
        <w:rPr>
          <w:rFonts w:ascii="Verdana" w:eastAsia="Calibri" w:hAnsi="Verdana" w:cs="Times New Roman"/>
          <w:sz w:val="24"/>
          <w:szCs w:val="24"/>
        </w:rPr>
      </w:pPr>
      <w:r w:rsidRPr="004202A8">
        <w:rPr>
          <w:rFonts w:ascii="Verdana" w:eastAsia="Calibri" w:hAnsi="Verdana" w:cs="Times New Roman"/>
          <w:b/>
          <w:bCs/>
          <w:sz w:val="28"/>
          <w:szCs w:val="28"/>
        </w:rPr>
        <w:t xml:space="preserve">Ders 1.4 </w:t>
      </w:r>
      <w:r w:rsidR="00F2276A" w:rsidRPr="004202A8">
        <w:rPr>
          <w:rFonts w:ascii="Verdana" w:eastAsia="Calibri" w:hAnsi="Verdana" w:cs="Times New Roman"/>
          <w:b/>
          <w:bCs/>
          <w:sz w:val="28"/>
          <w:szCs w:val="28"/>
        </w:rPr>
        <w:t xml:space="preserve">Siber Suç ve Elektronik Delillerle ilgili Uluslararası İşbirliğine ilişkin Hukuki Çerçeve </w:t>
      </w:r>
    </w:p>
    <w:p w14:paraId="49DC0EFE" w14:textId="77777777" w:rsidR="00164D60" w:rsidRPr="004202A8" w:rsidRDefault="00164D60" w:rsidP="004202A8">
      <w:pPr>
        <w:spacing w:before="120" w:after="120" w:line="260" w:lineRule="atLeast"/>
        <w:ind w:left="360"/>
        <w:rPr>
          <w:rFonts w:ascii="Verdana" w:eastAsia="Calibri" w:hAnsi="Verdana" w:cs="Times New Roman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5046"/>
        <w:gridCol w:w="2165"/>
      </w:tblGrid>
      <w:tr w:rsidR="00164D60" w:rsidRPr="004202A8" w14:paraId="624DEADA" w14:textId="77777777" w:rsidTr="00BA10FC">
        <w:trPr>
          <w:trHeight w:val="872"/>
        </w:trPr>
        <w:tc>
          <w:tcPr>
            <w:tcW w:w="6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A380DAD" w14:textId="77777777" w:rsidR="00164D60" w:rsidRPr="004202A8" w:rsidRDefault="00086B79" w:rsidP="004202A8">
            <w:pPr>
              <w:spacing w:before="120" w:after="120" w:line="260" w:lineRule="atLeast"/>
              <w:rPr>
                <w:rFonts w:ascii="Verdana" w:hAnsi="Verdana"/>
                <w:lang w:val="tr-TR"/>
              </w:rPr>
            </w:pPr>
            <w:r w:rsidRPr="004202A8">
              <w:rPr>
                <w:rFonts w:ascii="Verdana" w:hAnsi="Verdana"/>
                <w:lang w:val="tr-TR"/>
              </w:rPr>
              <w:t>Ders</w:t>
            </w:r>
            <w:r w:rsidR="00164D60" w:rsidRPr="004202A8">
              <w:rPr>
                <w:rFonts w:ascii="Verdana" w:hAnsi="Verdana"/>
                <w:lang w:val="tr-TR"/>
              </w:rPr>
              <w:t xml:space="preserve"> 1.4 </w:t>
            </w:r>
            <w:r w:rsidR="00F2276A" w:rsidRPr="004202A8">
              <w:rPr>
                <w:rFonts w:ascii="Verdana" w:hAnsi="Verdana"/>
                <w:lang w:val="tr-TR"/>
              </w:rPr>
              <w:t xml:space="preserve">Siber Suç ve Elektronik Delillerle ilgili Uluslararası İşbirliğine ilişkin Hukuki Çerçeve 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37172CC" w14:textId="77777777" w:rsidR="00164D60" w:rsidRPr="004202A8" w:rsidRDefault="00086B79" w:rsidP="004202A8">
            <w:pPr>
              <w:spacing w:before="120" w:after="120" w:line="260" w:lineRule="atLeast"/>
              <w:rPr>
                <w:rFonts w:ascii="Verdana" w:hAnsi="Verdana"/>
                <w:lang w:val="tr-TR"/>
              </w:rPr>
            </w:pPr>
            <w:r w:rsidRPr="004202A8">
              <w:rPr>
                <w:rFonts w:ascii="Verdana" w:hAnsi="Verdana"/>
                <w:lang w:val="tr-TR"/>
              </w:rPr>
              <w:t>Süre</w:t>
            </w:r>
            <w:r w:rsidR="00164D60" w:rsidRPr="004202A8">
              <w:rPr>
                <w:rFonts w:ascii="Verdana" w:hAnsi="Verdana"/>
                <w:lang w:val="tr-TR"/>
              </w:rPr>
              <w:t xml:space="preserve">: </w:t>
            </w:r>
            <w:r w:rsidRPr="004202A8">
              <w:rPr>
                <w:rFonts w:ascii="Verdana" w:hAnsi="Verdana"/>
                <w:color w:val="000000"/>
                <w:lang w:val="tr-TR"/>
              </w:rPr>
              <w:t>90 dakika</w:t>
            </w:r>
            <w:r w:rsidR="00164D60" w:rsidRPr="004202A8">
              <w:rPr>
                <w:rFonts w:ascii="Verdana" w:hAnsi="Verdana"/>
                <w:color w:val="000000"/>
                <w:lang w:val="tr-TR"/>
              </w:rPr>
              <w:t xml:space="preserve"> </w:t>
            </w:r>
          </w:p>
        </w:tc>
      </w:tr>
      <w:tr w:rsidR="00164D60" w:rsidRPr="004202A8" w14:paraId="02EB4DF6" w14:textId="77777777" w:rsidTr="000821F5">
        <w:trPr>
          <w:trHeight w:val="1727"/>
        </w:trPr>
        <w:tc>
          <w:tcPr>
            <w:tcW w:w="9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79904" w14:textId="77777777" w:rsidR="00164D60" w:rsidRPr="004202A8" w:rsidRDefault="000821F5" w:rsidP="004202A8">
            <w:pPr>
              <w:spacing w:before="120" w:after="120" w:line="260" w:lineRule="atLeast"/>
              <w:rPr>
                <w:rFonts w:ascii="Verdana" w:hAnsi="Verdana"/>
                <w:b/>
                <w:lang w:val="tr-TR"/>
              </w:rPr>
            </w:pPr>
            <w:r w:rsidRPr="004202A8">
              <w:rPr>
                <w:rFonts w:ascii="Verdana" w:hAnsi="Verdana"/>
                <w:b/>
                <w:lang w:val="tr-TR"/>
              </w:rPr>
              <w:t>Gerekli Kaynaklar</w:t>
            </w:r>
            <w:r w:rsidR="00164D60" w:rsidRPr="004202A8">
              <w:rPr>
                <w:rFonts w:ascii="Verdana" w:hAnsi="Verdana"/>
                <w:b/>
                <w:lang w:val="tr-TR"/>
              </w:rPr>
              <w:t xml:space="preserve">: </w:t>
            </w:r>
          </w:p>
          <w:p w14:paraId="09F616E8" w14:textId="77777777" w:rsidR="00164D60" w:rsidRPr="004202A8" w:rsidRDefault="00086B79" w:rsidP="004202A8">
            <w:pPr>
              <w:numPr>
                <w:ilvl w:val="0"/>
                <w:numId w:val="1"/>
              </w:numPr>
              <w:spacing w:before="120" w:after="120" w:line="260" w:lineRule="atLeast"/>
              <w:jc w:val="both"/>
              <w:rPr>
                <w:rFonts w:ascii="Verdana" w:hAnsi="Verdana"/>
                <w:sz w:val="18"/>
                <w:lang w:val="tr-TR" w:eastAsia="de-DE"/>
              </w:rPr>
            </w:pPr>
            <w:r w:rsidRPr="004202A8">
              <w:rPr>
                <w:rFonts w:ascii="Verdana" w:hAnsi="Verdana"/>
                <w:sz w:val="18"/>
                <w:lang w:val="tr-TR" w:eastAsia="de-DE"/>
              </w:rPr>
              <w:t xml:space="preserve">Hazırlanmış Materyallerle uyumlu </w:t>
            </w:r>
            <w:r w:rsidR="00B10BB3" w:rsidRPr="004202A8">
              <w:rPr>
                <w:rFonts w:ascii="Verdana" w:hAnsi="Verdana"/>
                <w:sz w:val="18"/>
                <w:lang w:val="tr-TR" w:eastAsia="de-DE"/>
              </w:rPr>
              <w:t>yazılım sürümlerinin</w:t>
            </w:r>
            <w:r w:rsidRPr="004202A8">
              <w:rPr>
                <w:rFonts w:ascii="Verdana" w:hAnsi="Verdana"/>
                <w:sz w:val="18"/>
                <w:lang w:val="tr-TR" w:eastAsia="de-DE"/>
              </w:rPr>
              <w:t xml:space="preserve"> yüklü olduğu </w:t>
            </w:r>
            <w:r w:rsidR="00164D60" w:rsidRPr="004202A8">
              <w:rPr>
                <w:rFonts w:ascii="Verdana" w:hAnsi="Verdana"/>
                <w:sz w:val="18"/>
                <w:lang w:val="tr-TR" w:eastAsia="de-DE"/>
              </w:rPr>
              <w:t>PC/</w:t>
            </w:r>
            <w:r w:rsidR="00D62ED1" w:rsidRPr="004202A8">
              <w:rPr>
                <w:rFonts w:ascii="Verdana" w:hAnsi="Verdana"/>
                <w:lang w:val="tr-TR"/>
              </w:rPr>
              <w:t>dizüstü bilgisayar (Laptop)</w:t>
            </w:r>
          </w:p>
          <w:p w14:paraId="40D97DB3" w14:textId="77777777" w:rsidR="00164D60" w:rsidRPr="004202A8" w:rsidRDefault="00086B79" w:rsidP="004202A8">
            <w:pPr>
              <w:numPr>
                <w:ilvl w:val="0"/>
                <w:numId w:val="1"/>
              </w:numPr>
              <w:spacing w:before="120" w:after="120" w:line="260" w:lineRule="atLeast"/>
              <w:jc w:val="both"/>
              <w:rPr>
                <w:rFonts w:ascii="Verdana" w:hAnsi="Verdana"/>
                <w:sz w:val="18"/>
                <w:lang w:val="tr-TR" w:eastAsia="de-DE"/>
              </w:rPr>
            </w:pPr>
            <w:r w:rsidRPr="004202A8">
              <w:rPr>
                <w:rFonts w:ascii="Verdana" w:hAnsi="Verdana"/>
                <w:sz w:val="18"/>
                <w:lang w:val="tr-TR" w:eastAsia="de-DE"/>
              </w:rPr>
              <w:t>İnternet erişimi</w:t>
            </w:r>
            <w:r w:rsidR="00164D60" w:rsidRPr="004202A8">
              <w:rPr>
                <w:rFonts w:ascii="Verdana" w:hAnsi="Verdana"/>
                <w:sz w:val="18"/>
                <w:lang w:val="tr-TR" w:eastAsia="de-DE"/>
              </w:rPr>
              <w:t xml:space="preserve"> (</w:t>
            </w:r>
            <w:r w:rsidRPr="004202A8">
              <w:rPr>
                <w:rFonts w:ascii="Verdana" w:hAnsi="Verdana"/>
                <w:sz w:val="18"/>
                <w:lang w:val="tr-TR" w:eastAsia="de-DE"/>
              </w:rPr>
              <w:t>mevcutsa</w:t>
            </w:r>
            <w:r w:rsidR="00164D60" w:rsidRPr="004202A8">
              <w:rPr>
                <w:rFonts w:ascii="Verdana" w:hAnsi="Verdana"/>
                <w:sz w:val="18"/>
                <w:lang w:val="tr-TR" w:eastAsia="de-DE"/>
              </w:rPr>
              <w:t xml:space="preserve">) </w:t>
            </w:r>
          </w:p>
          <w:p w14:paraId="72B81770" w14:textId="77777777" w:rsidR="00164D60" w:rsidRPr="004202A8" w:rsidRDefault="00164D60" w:rsidP="004202A8">
            <w:pPr>
              <w:numPr>
                <w:ilvl w:val="0"/>
                <w:numId w:val="1"/>
              </w:numPr>
              <w:spacing w:before="120" w:after="120" w:line="260" w:lineRule="atLeast"/>
              <w:jc w:val="both"/>
              <w:rPr>
                <w:rFonts w:ascii="Verdana" w:hAnsi="Verdana"/>
                <w:sz w:val="18"/>
                <w:lang w:val="tr-TR" w:eastAsia="de-DE"/>
              </w:rPr>
            </w:pPr>
            <w:r w:rsidRPr="004202A8">
              <w:rPr>
                <w:rFonts w:ascii="Verdana" w:hAnsi="Verdana"/>
                <w:sz w:val="18"/>
                <w:lang w:val="tr-TR" w:eastAsia="de-DE"/>
              </w:rPr>
              <w:t>PowerPoin</w:t>
            </w:r>
            <w:r w:rsidR="00086B79" w:rsidRPr="004202A8">
              <w:rPr>
                <w:rFonts w:ascii="Verdana" w:hAnsi="Verdana"/>
                <w:sz w:val="18"/>
                <w:lang w:val="tr-TR" w:eastAsia="de-DE"/>
              </w:rPr>
              <w:t xml:space="preserve">t </w:t>
            </w:r>
            <w:r w:rsidR="000821F5" w:rsidRPr="004202A8">
              <w:rPr>
                <w:rFonts w:ascii="Verdana" w:hAnsi="Verdana"/>
                <w:sz w:val="18"/>
                <w:lang w:val="tr-TR" w:eastAsia="de-DE"/>
              </w:rPr>
              <w:t>veya</w:t>
            </w:r>
            <w:r w:rsidR="00086B79" w:rsidRPr="004202A8">
              <w:rPr>
                <w:rFonts w:ascii="Verdana" w:hAnsi="Verdana"/>
                <w:sz w:val="18"/>
                <w:lang w:val="tr-TR" w:eastAsia="de-DE"/>
              </w:rPr>
              <w:t xml:space="preserve"> diğer sunum yazılımları</w:t>
            </w:r>
          </w:p>
          <w:p w14:paraId="1B68149B" w14:textId="77777777" w:rsidR="00164D60" w:rsidRPr="004202A8" w:rsidRDefault="00B10BB3" w:rsidP="004202A8">
            <w:pPr>
              <w:numPr>
                <w:ilvl w:val="0"/>
                <w:numId w:val="1"/>
              </w:numPr>
              <w:spacing w:before="120" w:after="120" w:line="260" w:lineRule="atLeast"/>
              <w:jc w:val="both"/>
              <w:rPr>
                <w:rFonts w:ascii="Verdana" w:hAnsi="Verdana"/>
                <w:sz w:val="18"/>
                <w:lang w:val="tr-TR" w:eastAsia="de-DE"/>
              </w:rPr>
            </w:pPr>
            <w:r w:rsidRPr="004202A8">
              <w:rPr>
                <w:rFonts w:ascii="Verdana" w:hAnsi="Verdana"/>
                <w:sz w:val="18"/>
                <w:lang w:val="tr-TR" w:eastAsia="de-DE"/>
              </w:rPr>
              <w:t xml:space="preserve">Katılımcılar için Budapeşte Sözleşmesinin </w:t>
            </w:r>
            <w:r w:rsidR="000821F5" w:rsidRPr="004202A8">
              <w:rPr>
                <w:rFonts w:ascii="Verdana" w:hAnsi="Verdana"/>
                <w:sz w:val="18"/>
                <w:lang w:val="tr-TR" w:eastAsia="de-DE"/>
              </w:rPr>
              <w:t xml:space="preserve">bir </w:t>
            </w:r>
            <w:r w:rsidRPr="004202A8">
              <w:rPr>
                <w:rFonts w:ascii="Verdana" w:hAnsi="Verdana"/>
                <w:sz w:val="18"/>
                <w:lang w:val="tr-TR" w:eastAsia="de-DE"/>
              </w:rPr>
              <w:t>örneği</w:t>
            </w:r>
            <w:r w:rsidR="00164D60" w:rsidRPr="004202A8">
              <w:rPr>
                <w:rFonts w:ascii="Verdana" w:hAnsi="Verdana"/>
                <w:sz w:val="18"/>
                <w:lang w:val="tr-TR" w:eastAsia="de-DE"/>
              </w:rPr>
              <w:t xml:space="preserve"> </w:t>
            </w:r>
          </w:p>
        </w:tc>
      </w:tr>
      <w:tr w:rsidR="00164D60" w:rsidRPr="004202A8" w14:paraId="706B1FC4" w14:textId="77777777" w:rsidTr="000821F5">
        <w:trPr>
          <w:trHeight w:val="1284"/>
        </w:trPr>
        <w:tc>
          <w:tcPr>
            <w:tcW w:w="9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A8D11" w14:textId="77777777" w:rsidR="00164D60" w:rsidRPr="004202A8" w:rsidRDefault="00B10BB3" w:rsidP="004202A8">
            <w:pPr>
              <w:spacing w:before="120" w:after="120" w:line="260" w:lineRule="atLeast"/>
              <w:rPr>
                <w:rFonts w:ascii="Verdana" w:hAnsi="Verdana"/>
                <w:b/>
                <w:lang w:val="tr-TR"/>
              </w:rPr>
            </w:pPr>
            <w:r w:rsidRPr="004202A8">
              <w:rPr>
                <w:rFonts w:ascii="Verdana" w:hAnsi="Verdana"/>
                <w:b/>
                <w:lang w:val="tr-TR"/>
              </w:rPr>
              <w:t>Oturumun Amacı</w:t>
            </w:r>
            <w:r w:rsidR="00164D60" w:rsidRPr="004202A8">
              <w:rPr>
                <w:rFonts w:ascii="Verdana" w:hAnsi="Verdana"/>
                <w:b/>
                <w:lang w:val="tr-TR"/>
              </w:rPr>
              <w:t xml:space="preserve">:  </w:t>
            </w:r>
          </w:p>
          <w:p w14:paraId="4DA28F95" w14:textId="77777777" w:rsidR="00164D60" w:rsidRPr="004202A8" w:rsidRDefault="00B10BB3" w:rsidP="004202A8">
            <w:pPr>
              <w:spacing w:before="120" w:after="120" w:line="260" w:lineRule="atLeast"/>
              <w:jc w:val="both"/>
              <w:rPr>
                <w:rFonts w:ascii="Verdana" w:hAnsi="Verdana"/>
                <w:i/>
                <w:color w:val="FF0000"/>
                <w:sz w:val="18"/>
                <w:szCs w:val="18"/>
                <w:lang w:val="tr-TR"/>
              </w:rPr>
            </w:pPr>
            <w:r w:rsidRPr="004202A8">
              <w:rPr>
                <w:rFonts w:ascii="Verdana" w:hAnsi="Verdana" w:cs="Arial"/>
                <w:iCs/>
                <w:sz w:val="18"/>
                <w:szCs w:val="18"/>
                <w:lang w:val="tr-TR"/>
              </w:rPr>
              <w:t xml:space="preserve">Bu oturumun amacı siber </w:t>
            </w:r>
            <w:r w:rsidR="00394B4E" w:rsidRPr="004202A8">
              <w:rPr>
                <w:rFonts w:ascii="Verdana" w:hAnsi="Verdana" w:cs="Arial"/>
                <w:iCs/>
                <w:sz w:val="18"/>
                <w:szCs w:val="18"/>
                <w:lang w:val="tr-TR"/>
              </w:rPr>
              <w:t xml:space="preserve">suçun </w:t>
            </w:r>
            <w:r w:rsidRPr="004202A8">
              <w:rPr>
                <w:rFonts w:ascii="Verdana" w:hAnsi="Verdana" w:cs="Arial"/>
                <w:iCs/>
                <w:sz w:val="18"/>
                <w:szCs w:val="18"/>
                <w:lang w:val="tr-TR"/>
              </w:rPr>
              <w:t xml:space="preserve">ne olduğu, </w:t>
            </w:r>
            <w:r w:rsidR="00066B87" w:rsidRPr="004202A8">
              <w:rPr>
                <w:rFonts w:ascii="Verdana" w:hAnsi="Verdana" w:cs="Arial"/>
                <w:iCs/>
                <w:sz w:val="18"/>
                <w:szCs w:val="18"/>
                <w:lang w:val="tr-TR"/>
              </w:rPr>
              <w:t xml:space="preserve">Budapeşte sözleşmesinin </w:t>
            </w:r>
            <w:r w:rsidR="00A8654C" w:rsidRPr="004202A8">
              <w:rPr>
                <w:rFonts w:ascii="Verdana" w:hAnsi="Verdana" w:cs="Arial"/>
                <w:iCs/>
                <w:sz w:val="18"/>
                <w:szCs w:val="18"/>
                <w:lang w:val="tr-TR"/>
              </w:rPr>
              <w:t>maddi ceza</w:t>
            </w:r>
            <w:r w:rsidR="00066B87" w:rsidRPr="004202A8">
              <w:rPr>
                <w:rFonts w:ascii="Verdana" w:hAnsi="Verdana" w:cs="Arial"/>
                <w:iCs/>
                <w:sz w:val="18"/>
                <w:szCs w:val="18"/>
                <w:lang w:val="tr-TR"/>
              </w:rPr>
              <w:t xml:space="preserve"> hukuk</w:t>
            </w:r>
            <w:r w:rsidR="00A8654C" w:rsidRPr="004202A8">
              <w:rPr>
                <w:rFonts w:ascii="Verdana" w:hAnsi="Verdana" w:cs="Arial"/>
                <w:iCs/>
                <w:sz w:val="18"/>
                <w:szCs w:val="18"/>
                <w:lang w:val="tr-TR"/>
              </w:rPr>
              <w:t>u</w:t>
            </w:r>
            <w:r w:rsidR="00066B87" w:rsidRPr="004202A8">
              <w:rPr>
                <w:rFonts w:ascii="Verdana" w:hAnsi="Verdana" w:cs="Arial"/>
                <w:iCs/>
                <w:sz w:val="18"/>
                <w:szCs w:val="18"/>
                <w:lang w:val="tr-TR"/>
              </w:rPr>
              <w:t xml:space="preserve"> ve</w:t>
            </w:r>
            <w:r w:rsidR="00C47155" w:rsidRPr="004202A8">
              <w:rPr>
                <w:rFonts w:ascii="Verdana" w:hAnsi="Verdana" w:cs="Arial"/>
                <w:iCs/>
                <w:sz w:val="18"/>
                <w:szCs w:val="18"/>
                <w:lang w:val="tr-TR"/>
              </w:rPr>
              <w:t xml:space="preserve"> usul hukuk</w:t>
            </w:r>
            <w:r w:rsidR="004007E2" w:rsidRPr="004202A8">
              <w:rPr>
                <w:rFonts w:ascii="Verdana" w:hAnsi="Verdana" w:cs="Arial"/>
                <w:iCs/>
                <w:sz w:val="18"/>
                <w:szCs w:val="18"/>
                <w:lang w:val="tr-TR"/>
              </w:rPr>
              <w:t xml:space="preserve"> hükümleri</w:t>
            </w:r>
            <w:r w:rsidR="00066B87" w:rsidRPr="004202A8">
              <w:rPr>
                <w:rFonts w:ascii="Verdana" w:hAnsi="Verdana" w:cs="Arial"/>
                <w:iCs/>
                <w:sz w:val="18"/>
                <w:szCs w:val="18"/>
                <w:lang w:val="tr-TR"/>
              </w:rPr>
              <w:t>, uluslararası işbirliğine olanak sağlayan çeşitli yasal çerçeveler</w:t>
            </w:r>
            <w:r w:rsidR="0040054A" w:rsidRPr="004202A8">
              <w:rPr>
                <w:rFonts w:ascii="Verdana" w:hAnsi="Verdana" w:cs="Arial"/>
                <w:iCs/>
                <w:sz w:val="18"/>
                <w:szCs w:val="18"/>
                <w:lang w:val="tr-TR"/>
              </w:rPr>
              <w:t xml:space="preserve"> hakkında bilgi</w:t>
            </w:r>
            <w:r w:rsidR="00394B4E" w:rsidRPr="004202A8">
              <w:rPr>
                <w:rFonts w:ascii="Verdana" w:hAnsi="Verdana" w:cs="Arial"/>
                <w:iCs/>
                <w:sz w:val="18"/>
                <w:szCs w:val="18"/>
                <w:lang w:val="tr-TR"/>
              </w:rPr>
              <w:t>leri hatırlatmak ve</w:t>
            </w:r>
            <w:r w:rsidR="00066B87" w:rsidRPr="004202A8">
              <w:rPr>
                <w:rFonts w:ascii="Verdana" w:hAnsi="Verdana" w:cs="Arial"/>
                <w:iCs/>
                <w:sz w:val="18"/>
                <w:szCs w:val="18"/>
                <w:lang w:val="tr-TR"/>
              </w:rPr>
              <w:t xml:space="preserve"> Budapeşte sözleşmesi ve bunun uluslararası işbirliği hükümlerine ve Bud</w:t>
            </w:r>
            <w:r w:rsidR="0040054A" w:rsidRPr="004202A8">
              <w:rPr>
                <w:rFonts w:ascii="Verdana" w:hAnsi="Verdana" w:cs="Arial"/>
                <w:iCs/>
                <w:sz w:val="18"/>
                <w:szCs w:val="18"/>
                <w:lang w:val="tr-TR"/>
              </w:rPr>
              <w:t>apeşte Sözleşmesine ek ikinci protokole</w:t>
            </w:r>
            <w:r w:rsidR="00066B87" w:rsidRPr="004202A8">
              <w:rPr>
                <w:rFonts w:ascii="Verdana" w:hAnsi="Verdana" w:cs="Arial"/>
                <w:iCs/>
                <w:sz w:val="18"/>
                <w:szCs w:val="18"/>
                <w:lang w:val="tr-TR"/>
              </w:rPr>
              <w:t xml:space="preserve"> ilişkin bir </w:t>
            </w:r>
            <w:r w:rsidR="00394B4E" w:rsidRPr="004202A8">
              <w:rPr>
                <w:rFonts w:ascii="Verdana" w:hAnsi="Verdana" w:cs="Arial"/>
                <w:iCs/>
                <w:sz w:val="18"/>
                <w:szCs w:val="18"/>
                <w:lang w:val="tr-TR"/>
              </w:rPr>
              <w:t xml:space="preserve">genel </w:t>
            </w:r>
            <w:r w:rsidR="00066B87" w:rsidRPr="004202A8">
              <w:rPr>
                <w:rFonts w:ascii="Verdana" w:hAnsi="Verdana" w:cs="Arial"/>
                <w:iCs/>
                <w:sz w:val="18"/>
                <w:szCs w:val="18"/>
                <w:lang w:val="tr-TR"/>
              </w:rPr>
              <w:t>değerlendirme</w:t>
            </w:r>
            <w:r w:rsidR="00394B4E" w:rsidRPr="004202A8">
              <w:rPr>
                <w:rFonts w:ascii="Verdana" w:hAnsi="Verdana" w:cs="Arial"/>
                <w:iCs/>
                <w:sz w:val="18"/>
                <w:szCs w:val="18"/>
                <w:lang w:val="tr-TR"/>
              </w:rPr>
              <w:t xml:space="preserve"> sunmaktır</w:t>
            </w:r>
            <w:r w:rsidR="00066B87" w:rsidRPr="004202A8">
              <w:rPr>
                <w:rFonts w:ascii="Verdana" w:hAnsi="Verdana" w:cs="Arial"/>
                <w:iCs/>
                <w:sz w:val="18"/>
                <w:szCs w:val="18"/>
                <w:lang w:val="tr-TR"/>
              </w:rPr>
              <w:t xml:space="preserve">.  </w:t>
            </w:r>
            <w:r w:rsidRPr="004202A8">
              <w:rPr>
                <w:rFonts w:ascii="Verdana" w:hAnsi="Verdana" w:cs="Arial"/>
                <w:iCs/>
                <w:sz w:val="18"/>
                <w:szCs w:val="18"/>
                <w:lang w:val="tr-TR"/>
              </w:rPr>
              <w:t xml:space="preserve"> </w:t>
            </w:r>
          </w:p>
        </w:tc>
      </w:tr>
      <w:tr w:rsidR="00164D60" w:rsidRPr="004202A8" w14:paraId="73D1C3CE" w14:textId="77777777" w:rsidTr="000821F5">
        <w:trPr>
          <w:trHeight w:val="983"/>
        </w:trPr>
        <w:tc>
          <w:tcPr>
            <w:tcW w:w="9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E9DD5" w14:textId="77777777" w:rsidR="00164D60" w:rsidRPr="004202A8" w:rsidRDefault="0040054A" w:rsidP="004202A8">
            <w:pPr>
              <w:spacing w:before="120" w:after="120" w:line="260" w:lineRule="atLeast"/>
              <w:rPr>
                <w:rFonts w:ascii="Verdana" w:hAnsi="Verdana"/>
                <w:b/>
                <w:lang w:val="tr-TR"/>
              </w:rPr>
            </w:pPr>
            <w:r w:rsidRPr="004202A8">
              <w:rPr>
                <w:rFonts w:ascii="Verdana" w:hAnsi="Verdana"/>
                <w:b/>
                <w:lang w:val="tr-TR"/>
              </w:rPr>
              <w:t>Hedefler</w:t>
            </w:r>
            <w:r w:rsidR="00164D60" w:rsidRPr="004202A8">
              <w:rPr>
                <w:rFonts w:ascii="Verdana" w:hAnsi="Verdana"/>
                <w:b/>
                <w:lang w:val="tr-TR"/>
              </w:rPr>
              <w:t>:</w:t>
            </w:r>
          </w:p>
          <w:p w14:paraId="3DE9E97E" w14:textId="77777777" w:rsidR="00164D60" w:rsidRPr="004202A8" w:rsidRDefault="00394B4E" w:rsidP="004202A8">
            <w:pPr>
              <w:tabs>
                <w:tab w:val="left" w:pos="426"/>
                <w:tab w:val="left" w:pos="851"/>
              </w:tabs>
              <w:spacing w:before="120" w:after="120" w:line="260" w:lineRule="atLeast"/>
              <w:rPr>
                <w:rFonts w:ascii="Verdana" w:eastAsia="Times New Roman" w:hAnsi="Verdana"/>
                <w:sz w:val="18"/>
                <w:szCs w:val="18"/>
                <w:lang w:val="tr-TR"/>
              </w:rPr>
            </w:pPr>
            <w:r w:rsidRPr="004202A8">
              <w:rPr>
                <w:rFonts w:ascii="Verdana" w:eastAsia="Times New Roman" w:hAnsi="Verdana"/>
                <w:sz w:val="18"/>
                <w:szCs w:val="18"/>
                <w:lang w:val="tr-TR"/>
              </w:rPr>
              <w:t>Bu o</w:t>
            </w:r>
            <w:r w:rsidR="0040054A" w:rsidRPr="004202A8">
              <w:rPr>
                <w:rFonts w:ascii="Verdana" w:eastAsia="Times New Roman" w:hAnsi="Verdana"/>
                <w:sz w:val="18"/>
                <w:szCs w:val="18"/>
                <w:lang w:val="tr-TR"/>
              </w:rPr>
              <w:t>turum</w:t>
            </w:r>
            <w:r w:rsidRPr="004202A8">
              <w:rPr>
                <w:rFonts w:ascii="Verdana" w:eastAsia="Times New Roman" w:hAnsi="Verdana"/>
                <w:sz w:val="18"/>
                <w:szCs w:val="18"/>
                <w:lang w:val="tr-TR"/>
              </w:rPr>
              <w:t>un sonu itibariyle katılımcılar</w:t>
            </w:r>
            <w:r w:rsidR="0040054A" w:rsidRPr="004202A8">
              <w:rPr>
                <w:rFonts w:ascii="Verdana" w:eastAsia="Times New Roman" w:hAnsi="Verdana"/>
                <w:sz w:val="18"/>
                <w:szCs w:val="18"/>
                <w:lang w:val="tr-TR"/>
              </w:rPr>
              <w:t xml:space="preserve">: </w:t>
            </w:r>
          </w:p>
          <w:p w14:paraId="51AF5CF1" w14:textId="77777777" w:rsidR="00164D60" w:rsidRPr="004202A8" w:rsidRDefault="00214389" w:rsidP="004202A8">
            <w:pPr>
              <w:numPr>
                <w:ilvl w:val="0"/>
                <w:numId w:val="2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rPr>
                <w:rFonts w:ascii="Verdana" w:hAnsi="Verdana"/>
                <w:sz w:val="18"/>
                <w:szCs w:val="18"/>
                <w:lang w:val="tr-TR"/>
              </w:rPr>
            </w:pP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Siber suçlar ve elektronik </w:t>
            </w:r>
            <w:r w:rsidR="00394B4E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delillere </w:t>
            </w:r>
            <w:r w:rsidR="009C223B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ilişkin </w:t>
            </w: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kavramları ve Budapeşte Sözleşmesinin </w:t>
            </w:r>
            <w:r w:rsidR="00394B4E" w:rsidRPr="004202A8">
              <w:rPr>
                <w:rFonts w:ascii="Verdana" w:hAnsi="Verdana"/>
                <w:sz w:val="18"/>
                <w:szCs w:val="18"/>
                <w:lang w:val="tr-TR"/>
              </w:rPr>
              <w:t>ilgili</w:t>
            </w: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 hükümlerini tanımlaya</w:t>
            </w:r>
            <w:r w:rsidR="00394B4E" w:rsidRPr="004202A8">
              <w:rPr>
                <w:rFonts w:ascii="Verdana" w:hAnsi="Verdana"/>
                <w:sz w:val="18"/>
                <w:szCs w:val="18"/>
                <w:lang w:val="tr-TR"/>
              </w:rPr>
              <w:t>cak</w:t>
            </w:r>
          </w:p>
          <w:p w14:paraId="4F8D5F0B" w14:textId="77777777" w:rsidR="00164D60" w:rsidRPr="004202A8" w:rsidRDefault="00394B4E" w:rsidP="004202A8">
            <w:pPr>
              <w:numPr>
                <w:ilvl w:val="0"/>
                <w:numId w:val="2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rPr>
                <w:rFonts w:ascii="Verdana" w:hAnsi="Verdana"/>
                <w:sz w:val="18"/>
                <w:szCs w:val="18"/>
                <w:lang w:val="tr-TR"/>
              </w:rPr>
            </w:pP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>Resmi uluslararası işbirliğine ilişkin f</w:t>
            </w:r>
            <w:r w:rsidR="00696798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arklı kanalları ve </w:t>
            </w: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mekanizmaları </w:t>
            </w:r>
            <w:r w:rsidR="00696798" w:rsidRPr="004202A8">
              <w:rPr>
                <w:rFonts w:ascii="Verdana" w:hAnsi="Verdana"/>
                <w:sz w:val="18"/>
                <w:szCs w:val="18"/>
                <w:lang w:val="tr-TR"/>
              </w:rPr>
              <w:t>anlayacak</w:t>
            </w:r>
          </w:p>
          <w:p w14:paraId="7D840C7F" w14:textId="77777777" w:rsidR="00164D60" w:rsidRPr="004202A8" w:rsidRDefault="007750FB" w:rsidP="004202A8">
            <w:pPr>
              <w:numPr>
                <w:ilvl w:val="0"/>
                <w:numId w:val="2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rPr>
                <w:rFonts w:ascii="Verdana" w:hAnsi="Verdana"/>
                <w:sz w:val="18"/>
                <w:szCs w:val="18"/>
                <w:lang w:val="tr-TR"/>
              </w:rPr>
            </w:pP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Budapeşte Sözleşmesini siber suçlar ve elektronik </w:t>
            </w:r>
            <w:r w:rsidR="00394B4E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delil </w:t>
            </w: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alanlarında işbirliği için önde gelen bir araç olarak ele </w:t>
            </w:r>
            <w:r w:rsidR="00394B4E" w:rsidRPr="004202A8">
              <w:rPr>
                <w:rFonts w:ascii="Verdana" w:hAnsi="Verdana"/>
                <w:sz w:val="18"/>
                <w:szCs w:val="18"/>
                <w:lang w:val="tr-TR"/>
              </w:rPr>
              <w:t>alacak</w:t>
            </w: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</w:p>
          <w:p w14:paraId="4DE06CBB" w14:textId="77777777" w:rsidR="00164D60" w:rsidRPr="004202A8" w:rsidRDefault="00A36B6F" w:rsidP="004202A8">
            <w:pPr>
              <w:numPr>
                <w:ilvl w:val="0"/>
                <w:numId w:val="2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rPr>
                <w:rFonts w:ascii="Verdana" w:hAnsi="Verdana"/>
                <w:sz w:val="18"/>
                <w:szCs w:val="18"/>
                <w:lang w:val="tr-TR"/>
              </w:rPr>
            </w:pP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>Uluslararası işbirliğin</w:t>
            </w:r>
            <w:r w:rsidR="00394B4E" w:rsidRPr="004202A8">
              <w:rPr>
                <w:rFonts w:ascii="Verdana" w:hAnsi="Verdana"/>
                <w:sz w:val="18"/>
                <w:szCs w:val="18"/>
                <w:lang w:val="tr-TR"/>
              </w:rPr>
              <w:t>e ilişkin</w:t>
            </w: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 farklı kanal ve </w:t>
            </w:r>
            <w:r w:rsidR="00394B4E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mekanizmalar </w:t>
            </w: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arasındaki benzerlikleri </w:t>
            </w:r>
            <w:r w:rsidR="00394B4E" w:rsidRPr="004202A8">
              <w:rPr>
                <w:rFonts w:ascii="Verdana" w:hAnsi="Verdana"/>
                <w:sz w:val="18"/>
                <w:szCs w:val="18"/>
                <w:lang w:val="tr-TR"/>
              </w:rPr>
              <w:t>tespit edecek</w:t>
            </w: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. </w:t>
            </w:r>
          </w:p>
          <w:p w14:paraId="35B820DE" w14:textId="77777777" w:rsidR="00164D60" w:rsidRPr="004202A8" w:rsidRDefault="00B3322A" w:rsidP="004202A8">
            <w:pPr>
              <w:numPr>
                <w:ilvl w:val="0"/>
                <w:numId w:val="2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rPr>
                <w:rFonts w:ascii="Verdana" w:hAnsi="Verdana"/>
                <w:sz w:val="18"/>
                <w:szCs w:val="18"/>
                <w:lang w:val="tr-TR"/>
              </w:rPr>
            </w:pP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>Uluslararası işbirliğin</w:t>
            </w:r>
            <w:r w:rsidR="00394B4E" w:rsidRPr="004202A8">
              <w:rPr>
                <w:rFonts w:ascii="Verdana" w:hAnsi="Verdana"/>
                <w:sz w:val="18"/>
                <w:szCs w:val="18"/>
                <w:lang w:val="tr-TR"/>
              </w:rPr>
              <w:t>in s</w:t>
            </w: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>ağlanması</w:t>
            </w:r>
            <w:r w:rsidR="00394B4E" w:rsidRPr="004202A8">
              <w:rPr>
                <w:rFonts w:ascii="Verdana" w:hAnsi="Verdana"/>
                <w:sz w:val="18"/>
                <w:szCs w:val="18"/>
                <w:lang w:val="tr-TR"/>
              </w:rPr>
              <w:t>na yönelik bir mekanizma olarak Sözleşmenin İ</w:t>
            </w: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kinci </w:t>
            </w:r>
            <w:r w:rsidR="00394B4E" w:rsidRPr="004202A8">
              <w:rPr>
                <w:rFonts w:ascii="Verdana" w:hAnsi="Verdana"/>
                <w:sz w:val="18"/>
                <w:szCs w:val="18"/>
                <w:lang w:val="tr-TR"/>
              </w:rPr>
              <w:t>Ek P</w:t>
            </w: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>rotokolün</w:t>
            </w:r>
            <w:r w:rsidR="00394B4E" w:rsidRPr="004202A8">
              <w:rPr>
                <w:rFonts w:ascii="Verdana" w:hAnsi="Verdana"/>
                <w:sz w:val="18"/>
                <w:szCs w:val="18"/>
                <w:lang w:val="tr-TR"/>
              </w:rPr>
              <w:t>ü</w:t>
            </w: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  <w:r w:rsidR="00394B4E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genel olarak tartışabileceklerdir </w:t>
            </w: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</w:p>
        </w:tc>
      </w:tr>
      <w:tr w:rsidR="00164D60" w:rsidRPr="004202A8" w14:paraId="1D3742D7" w14:textId="77777777" w:rsidTr="000821F5">
        <w:trPr>
          <w:trHeight w:val="58"/>
        </w:trPr>
        <w:tc>
          <w:tcPr>
            <w:tcW w:w="9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1A9E6" w14:textId="77777777" w:rsidR="00164D60" w:rsidRPr="004202A8" w:rsidRDefault="000821F5" w:rsidP="004202A8">
            <w:pPr>
              <w:spacing w:before="120" w:after="120" w:line="260" w:lineRule="atLeast"/>
              <w:rPr>
                <w:rFonts w:ascii="Verdana" w:hAnsi="Verdana"/>
                <w:b/>
                <w:color w:val="000000"/>
                <w:lang w:val="tr-TR"/>
              </w:rPr>
            </w:pPr>
            <w:r w:rsidRPr="004202A8">
              <w:rPr>
                <w:rFonts w:ascii="Verdana" w:hAnsi="Verdana"/>
                <w:b/>
                <w:color w:val="000000"/>
                <w:lang w:val="tr-TR"/>
              </w:rPr>
              <w:t>Eğitici Rehberi</w:t>
            </w:r>
          </w:p>
          <w:p w14:paraId="44EFC455" w14:textId="77777777" w:rsidR="00164D60" w:rsidRPr="004202A8" w:rsidRDefault="00CC4701" w:rsidP="004202A8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tr-TR"/>
              </w:rPr>
            </w:pPr>
            <w:r w:rsidRPr="004202A8">
              <w:rPr>
                <w:rFonts w:ascii="Verdana" w:hAnsi="Verdana"/>
                <w:color w:val="000000"/>
                <w:sz w:val="18"/>
                <w:szCs w:val="18"/>
                <w:lang w:val="tr-TR"/>
              </w:rPr>
              <w:t>Bu oturum, katılımcılara Budapeşte Sözleşmesi ve uluslararası işbirliği</w:t>
            </w:r>
            <w:r w:rsidR="00A8654C" w:rsidRPr="004202A8">
              <w:rPr>
                <w:rFonts w:ascii="Verdana" w:hAnsi="Verdana"/>
                <w:color w:val="000000"/>
                <w:sz w:val="18"/>
                <w:szCs w:val="18"/>
                <w:lang w:val="tr-TR"/>
              </w:rPr>
              <w:t>nin oluşturulmasını</w:t>
            </w:r>
            <w:r w:rsidRPr="004202A8">
              <w:rPr>
                <w:rFonts w:ascii="Verdana" w:hAnsi="Verdana"/>
                <w:color w:val="000000"/>
                <w:sz w:val="18"/>
                <w:szCs w:val="18"/>
                <w:lang w:val="tr-TR"/>
              </w:rPr>
              <w:t xml:space="preserve"> sağlayan uluslararası </w:t>
            </w:r>
            <w:r w:rsidR="00A8654C" w:rsidRPr="004202A8">
              <w:rPr>
                <w:rFonts w:ascii="Verdana" w:hAnsi="Verdana"/>
                <w:color w:val="000000"/>
                <w:sz w:val="18"/>
                <w:szCs w:val="18"/>
                <w:lang w:val="tr-TR"/>
              </w:rPr>
              <w:t xml:space="preserve">çerçeveler </w:t>
            </w:r>
            <w:r w:rsidRPr="004202A8">
              <w:rPr>
                <w:rFonts w:ascii="Verdana" w:hAnsi="Verdana"/>
                <w:color w:val="000000"/>
                <w:sz w:val="18"/>
                <w:szCs w:val="18"/>
                <w:lang w:val="tr-TR"/>
              </w:rPr>
              <w:t xml:space="preserve">hakkında temel </w:t>
            </w:r>
            <w:r w:rsidR="00A8654C" w:rsidRPr="004202A8">
              <w:rPr>
                <w:rFonts w:ascii="Verdana" w:hAnsi="Verdana"/>
                <w:color w:val="000000"/>
                <w:sz w:val="18"/>
                <w:szCs w:val="18"/>
                <w:lang w:val="tr-TR"/>
              </w:rPr>
              <w:t>bilgi</w:t>
            </w:r>
            <w:r w:rsidRPr="004202A8">
              <w:rPr>
                <w:rFonts w:ascii="Verdana" w:hAnsi="Verdana"/>
                <w:color w:val="000000"/>
                <w:sz w:val="18"/>
                <w:szCs w:val="18"/>
                <w:lang w:val="tr-TR"/>
              </w:rPr>
              <w:t xml:space="preserve"> vermeyi amaçl</w:t>
            </w:r>
            <w:r w:rsidR="00A8654C" w:rsidRPr="004202A8">
              <w:rPr>
                <w:rFonts w:ascii="Verdana" w:hAnsi="Verdana"/>
                <w:color w:val="000000"/>
                <w:sz w:val="18"/>
                <w:szCs w:val="18"/>
                <w:lang w:val="tr-TR"/>
              </w:rPr>
              <w:t>amaktadır</w:t>
            </w:r>
            <w:r w:rsidRPr="004202A8">
              <w:rPr>
                <w:rFonts w:ascii="Verdana" w:hAnsi="Verdana"/>
                <w:color w:val="000000"/>
                <w:sz w:val="18"/>
                <w:szCs w:val="18"/>
                <w:lang w:val="tr-TR"/>
              </w:rPr>
              <w:t>. Bu oturum,</w:t>
            </w:r>
            <w:r w:rsidR="00865C2D" w:rsidRPr="004202A8">
              <w:rPr>
                <w:rFonts w:ascii="Verdana" w:hAnsi="Verdana"/>
                <w:color w:val="000000"/>
                <w:sz w:val="18"/>
                <w:szCs w:val="18"/>
                <w:lang w:val="tr-TR"/>
              </w:rPr>
              <w:t xml:space="preserve"> </w:t>
            </w:r>
            <w:r w:rsidR="0060498A" w:rsidRPr="004202A8">
              <w:rPr>
                <w:rFonts w:ascii="Verdana" w:hAnsi="Verdana"/>
                <w:color w:val="000000"/>
                <w:sz w:val="18"/>
                <w:szCs w:val="18"/>
                <w:lang w:val="tr-TR"/>
              </w:rPr>
              <w:t xml:space="preserve">Budapeşte Sözleşmesinin 1. </w:t>
            </w:r>
            <w:r w:rsidR="00A8654C" w:rsidRPr="004202A8">
              <w:rPr>
                <w:rFonts w:ascii="Verdana" w:hAnsi="Verdana"/>
                <w:color w:val="000000"/>
                <w:sz w:val="18"/>
                <w:szCs w:val="18"/>
                <w:lang w:val="tr-TR"/>
              </w:rPr>
              <w:t>K</w:t>
            </w:r>
            <w:r w:rsidR="0060498A" w:rsidRPr="004202A8">
              <w:rPr>
                <w:rFonts w:ascii="Verdana" w:hAnsi="Verdana"/>
                <w:color w:val="000000"/>
                <w:sz w:val="18"/>
                <w:szCs w:val="18"/>
                <w:lang w:val="tr-TR"/>
              </w:rPr>
              <w:t>ısmında</w:t>
            </w:r>
            <w:r w:rsidR="00A8654C" w:rsidRPr="004202A8">
              <w:rPr>
                <w:rFonts w:ascii="Verdana" w:hAnsi="Verdana"/>
                <w:color w:val="000000"/>
                <w:sz w:val="18"/>
                <w:szCs w:val="18"/>
                <w:lang w:val="tr-TR"/>
              </w:rPr>
              <w:t xml:space="preserve"> verilen</w:t>
            </w:r>
            <w:r w:rsidR="0060498A" w:rsidRPr="004202A8">
              <w:rPr>
                <w:rFonts w:ascii="Verdana" w:hAnsi="Verdana"/>
                <w:color w:val="000000"/>
                <w:sz w:val="18"/>
                <w:szCs w:val="18"/>
                <w:lang w:val="tr-TR"/>
              </w:rPr>
              <w:t xml:space="preserve"> tanımları</w:t>
            </w:r>
            <w:r w:rsidR="00865C2D" w:rsidRPr="004202A8">
              <w:rPr>
                <w:rFonts w:ascii="Verdana" w:hAnsi="Verdana"/>
                <w:color w:val="000000"/>
                <w:sz w:val="18"/>
                <w:szCs w:val="18"/>
                <w:lang w:val="tr-TR"/>
              </w:rPr>
              <w:t xml:space="preserve">, Budapeşte Sözleşmesinin 2. kısmının 1. bölümünde belirtilen </w:t>
            </w:r>
            <w:r w:rsidR="00A8654C" w:rsidRPr="004202A8">
              <w:rPr>
                <w:rFonts w:ascii="Verdana" w:hAnsi="Verdana"/>
                <w:color w:val="000000"/>
                <w:sz w:val="18"/>
                <w:szCs w:val="18"/>
                <w:lang w:val="tr-TR"/>
              </w:rPr>
              <w:t>maddi ceza hukuku</w:t>
            </w:r>
            <w:r w:rsidR="00865C2D" w:rsidRPr="004202A8">
              <w:rPr>
                <w:rFonts w:ascii="Verdana" w:hAnsi="Verdana"/>
                <w:color w:val="000000"/>
                <w:sz w:val="18"/>
                <w:szCs w:val="18"/>
                <w:lang w:val="tr-TR"/>
              </w:rPr>
              <w:t xml:space="preserve"> hükümlerini ve Budapeşte Sözleşmesinin 2. kısmının 2. bölümünde belirtilen usul hukuku hükümlerini</w:t>
            </w:r>
            <w:r w:rsidR="0060498A" w:rsidRPr="004202A8">
              <w:rPr>
                <w:rFonts w:ascii="Verdana" w:hAnsi="Verdana"/>
                <w:color w:val="000000"/>
                <w:sz w:val="18"/>
                <w:szCs w:val="18"/>
                <w:lang w:val="tr-TR"/>
              </w:rPr>
              <w:t xml:space="preserve"> ka</w:t>
            </w:r>
            <w:r w:rsidR="00865C2D" w:rsidRPr="004202A8">
              <w:rPr>
                <w:rFonts w:ascii="Verdana" w:hAnsi="Verdana"/>
                <w:color w:val="000000"/>
                <w:sz w:val="18"/>
                <w:szCs w:val="18"/>
                <w:lang w:val="tr-TR"/>
              </w:rPr>
              <w:t xml:space="preserve">psamlı bir şekilde </w:t>
            </w:r>
            <w:r w:rsidR="00A8654C" w:rsidRPr="004202A8">
              <w:rPr>
                <w:rFonts w:ascii="Verdana" w:hAnsi="Verdana"/>
                <w:color w:val="000000"/>
                <w:sz w:val="18"/>
                <w:szCs w:val="18"/>
                <w:lang w:val="tr-TR"/>
              </w:rPr>
              <w:t xml:space="preserve">katılımcılara </w:t>
            </w:r>
            <w:r w:rsidR="00865C2D" w:rsidRPr="004202A8">
              <w:rPr>
                <w:rFonts w:ascii="Verdana" w:hAnsi="Verdana"/>
                <w:color w:val="000000"/>
                <w:sz w:val="18"/>
                <w:szCs w:val="18"/>
                <w:lang w:val="tr-TR"/>
              </w:rPr>
              <w:t xml:space="preserve">hatırlatmak </w:t>
            </w:r>
            <w:r w:rsidR="0060498A" w:rsidRPr="004202A8">
              <w:rPr>
                <w:rFonts w:ascii="Verdana" w:hAnsi="Verdana"/>
                <w:color w:val="000000"/>
                <w:sz w:val="18"/>
                <w:szCs w:val="18"/>
                <w:lang w:val="tr-TR"/>
              </w:rPr>
              <w:t>için hazırlan</w:t>
            </w:r>
            <w:r w:rsidR="00A8654C" w:rsidRPr="004202A8">
              <w:rPr>
                <w:rFonts w:ascii="Verdana" w:hAnsi="Verdana"/>
                <w:color w:val="000000"/>
                <w:sz w:val="18"/>
                <w:szCs w:val="18"/>
                <w:lang w:val="tr-TR"/>
              </w:rPr>
              <w:t>mıştır</w:t>
            </w:r>
            <w:r w:rsidR="00865C2D" w:rsidRPr="004202A8">
              <w:rPr>
                <w:rFonts w:ascii="Verdana" w:hAnsi="Verdana"/>
                <w:color w:val="000000"/>
                <w:sz w:val="18"/>
                <w:szCs w:val="18"/>
                <w:lang w:val="tr-TR"/>
              </w:rPr>
              <w:t>.</w:t>
            </w:r>
            <w:r w:rsidRPr="004202A8">
              <w:rPr>
                <w:rFonts w:ascii="Verdana" w:hAnsi="Verdana"/>
                <w:color w:val="000000"/>
                <w:sz w:val="18"/>
                <w:szCs w:val="18"/>
                <w:lang w:val="tr-TR"/>
              </w:rPr>
              <w:t xml:space="preserve"> </w:t>
            </w:r>
            <w:r w:rsidR="00A8654C" w:rsidRPr="004202A8">
              <w:rPr>
                <w:rFonts w:ascii="Verdana" w:hAnsi="Verdana"/>
                <w:color w:val="000000"/>
                <w:sz w:val="18"/>
                <w:szCs w:val="18"/>
                <w:lang w:val="tr-TR"/>
              </w:rPr>
              <w:t>O</w:t>
            </w:r>
            <w:r w:rsidR="00865C2D" w:rsidRPr="004202A8">
              <w:rPr>
                <w:rFonts w:ascii="Verdana" w:hAnsi="Verdana"/>
                <w:color w:val="000000"/>
                <w:sz w:val="18"/>
                <w:szCs w:val="18"/>
                <w:lang w:val="tr-TR"/>
              </w:rPr>
              <w:t>turum</w:t>
            </w:r>
            <w:r w:rsidR="00A8654C" w:rsidRPr="004202A8">
              <w:rPr>
                <w:rFonts w:ascii="Verdana" w:hAnsi="Verdana"/>
                <w:color w:val="000000"/>
                <w:sz w:val="18"/>
                <w:szCs w:val="18"/>
                <w:lang w:val="tr-TR"/>
              </w:rPr>
              <w:t xml:space="preserve"> giriş ve sonuç kısmına ek olarak</w:t>
            </w:r>
            <w:r w:rsidR="00865C2D" w:rsidRPr="004202A8">
              <w:rPr>
                <w:rFonts w:ascii="Verdana" w:hAnsi="Verdana"/>
                <w:color w:val="000000"/>
                <w:sz w:val="18"/>
                <w:szCs w:val="18"/>
                <w:lang w:val="tr-TR"/>
              </w:rPr>
              <w:t xml:space="preserve"> </w:t>
            </w:r>
            <w:r w:rsidR="00F849B9" w:rsidRPr="004202A8">
              <w:rPr>
                <w:rFonts w:ascii="Verdana" w:hAnsi="Verdana"/>
                <w:color w:val="000000"/>
                <w:sz w:val="18"/>
                <w:szCs w:val="18"/>
                <w:lang w:val="tr-TR"/>
              </w:rPr>
              <w:t xml:space="preserve">dört bölüme </w:t>
            </w:r>
            <w:r w:rsidR="00A8654C" w:rsidRPr="004202A8">
              <w:rPr>
                <w:rFonts w:ascii="Verdana" w:hAnsi="Verdana"/>
                <w:color w:val="000000"/>
                <w:sz w:val="18"/>
                <w:szCs w:val="18"/>
                <w:lang w:val="tr-TR"/>
              </w:rPr>
              <w:t>ayrılmıştır</w:t>
            </w:r>
            <w:r w:rsidR="00F849B9" w:rsidRPr="004202A8">
              <w:rPr>
                <w:rFonts w:ascii="Verdana" w:hAnsi="Verdana"/>
                <w:color w:val="000000"/>
                <w:sz w:val="18"/>
                <w:szCs w:val="18"/>
                <w:lang w:val="tr-TR"/>
              </w:rPr>
              <w:t xml:space="preserve">. </w:t>
            </w:r>
          </w:p>
          <w:p w14:paraId="3D4BBA4F" w14:textId="77777777" w:rsidR="00164D60" w:rsidRPr="004202A8" w:rsidRDefault="00DB1B64" w:rsidP="004202A8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tr-TR"/>
              </w:rPr>
            </w:pP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>Bu oturum</w:t>
            </w:r>
            <w:r w:rsidR="00514448" w:rsidRPr="004202A8">
              <w:rPr>
                <w:rFonts w:ascii="Verdana" w:hAnsi="Verdana"/>
                <w:sz w:val="18"/>
                <w:szCs w:val="18"/>
                <w:lang w:val="tr-TR"/>
              </w:rPr>
              <w:t>un gerçekleştirilmesinden</w:t>
            </w: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 önce </w:t>
            </w:r>
            <w:r w:rsidR="00CD360D" w:rsidRPr="004202A8">
              <w:rPr>
                <w:rFonts w:ascii="Verdana" w:hAnsi="Verdana"/>
                <w:sz w:val="18"/>
                <w:szCs w:val="18"/>
                <w:lang w:val="tr-TR"/>
              </w:rPr>
              <w:t>eğiti</w:t>
            </w:r>
            <w:r w:rsidR="00514448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cinin </w:t>
            </w:r>
            <w:r w:rsidR="00514448" w:rsidRPr="004202A8">
              <w:rPr>
                <w:rFonts w:ascii="Verdana" w:hAnsi="Verdana"/>
                <w:color w:val="0563C1"/>
                <w:sz w:val="18"/>
                <w:szCs w:val="18"/>
                <w:u w:val="single"/>
                <w:lang w:val="tr-TR"/>
              </w:rPr>
              <w:t xml:space="preserve">Siber Suçlar Sözleşmesi Açıklayıcı Raporunun </w:t>
            </w:r>
            <w:r w:rsidR="00C96BFA" w:rsidRPr="004202A8">
              <w:rPr>
                <w:rFonts w:ascii="Verdana" w:hAnsi="Verdana"/>
                <w:lang w:val="tr-TR"/>
              </w:rPr>
              <w:t xml:space="preserve"> </w:t>
            </w:r>
            <w:r w:rsidR="00355F29" w:rsidRPr="004202A8">
              <w:rPr>
                <w:rFonts w:ascii="Verdana" w:hAnsi="Verdana"/>
                <w:sz w:val="18"/>
                <w:szCs w:val="18"/>
                <w:lang w:val="tr-TR"/>
              </w:rPr>
              <w:t>22 ila 231</w:t>
            </w:r>
            <w:r w:rsidR="00514448" w:rsidRPr="004202A8">
              <w:rPr>
                <w:rFonts w:ascii="Verdana" w:hAnsi="Verdana"/>
                <w:sz w:val="18"/>
                <w:szCs w:val="18"/>
                <w:lang w:val="tr-TR"/>
              </w:rPr>
              <w:t>’</w:t>
            </w:r>
            <w:r w:rsidR="00355F29" w:rsidRPr="004202A8">
              <w:rPr>
                <w:rFonts w:ascii="Verdana" w:hAnsi="Verdana"/>
                <w:sz w:val="18"/>
                <w:szCs w:val="18"/>
                <w:lang w:val="tr-TR"/>
              </w:rPr>
              <w:t>inci paragraflarını gözden geçirmesi tavsiye edil</w:t>
            </w:r>
            <w:r w:rsidR="00514448" w:rsidRPr="004202A8">
              <w:rPr>
                <w:rFonts w:ascii="Verdana" w:hAnsi="Verdana"/>
                <w:sz w:val="18"/>
                <w:szCs w:val="18"/>
                <w:lang w:val="tr-TR"/>
              </w:rPr>
              <w:t>mektedir</w:t>
            </w:r>
            <w:r w:rsidR="00355F29" w:rsidRPr="004202A8">
              <w:rPr>
                <w:rFonts w:ascii="Verdana" w:hAnsi="Verdana"/>
                <w:sz w:val="18"/>
                <w:szCs w:val="18"/>
                <w:lang w:val="tr-TR"/>
              </w:rPr>
              <w:t>.</w:t>
            </w:r>
          </w:p>
        </w:tc>
      </w:tr>
      <w:tr w:rsidR="00164D60" w:rsidRPr="004202A8" w14:paraId="226754CA" w14:textId="77777777" w:rsidTr="000821F5">
        <w:trPr>
          <w:trHeight w:val="728"/>
        </w:trPr>
        <w:tc>
          <w:tcPr>
            <w:tcW w:w="9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C0BF949" w14:textId="77777777" w:rsidR="00164D60" w:rsidRPr="004202A8" w:rsidRDefault="005E32D5" w:rsidP="004202A8">
            <w:pPr>
              <w:spacing w:before="120" w:after="120" w:line="260" w:lineRule="atLeast"/>
              <w:rPr>
                <w:rFonts w:ascii="Verdana" w:hAnsi="Verdana"/>
                <w:b/>
                <w:sz w:val="28"/>
                <w:szCs w:val="28"/>
                <w:lang w:val="tr-TR"/>
              </w:rPr>
            </w:pPr>
            <w:r w:rsidRPr="004202A8">
              <w:rPr>
                <w:rFonts w:ascii="Verdana" w:hAnsi="Verdana"/>
                <w:b/>
                <w:sz w:val="28"/>
                <w:szCs w:val="28"/>
                <w:lang w:val="tr-TR"/>
              </w:rPr>
              <w:t>Ders İçeriği</w:t>
            </w:r>
          </w:p>
        </w:tc>
      </w:tr>
      <w:tr w:rsidR="00164D60" w:rsidRPr="004202A8" w14:paraId="520D5C47" w14:textId="77777777" w:rsidTr="000821F5">
        <w:trPr>
          <w:trHeight w:val="62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12C992E" w14:textId="77777777" w:rsidR="00164D60" w:rsidRPr="004202A8" w:rsidRDefault="005E32D5" w:rsidP="004202A8">
            <w:pPr>
              <w:spacing w:before="120" w:after="120" w:line="260" w:lineRule="atLeast"/>
              <w:jc w:val="center"/>
              <w:rPr>
                <w:rFonts w:ascii="Verdana" w:hAnsi="Verdana"/>
                <w:b/>
                <w:lang w:val="tr-TR"/>
              </w:rPr>
            </w:pPr>
            <w:r w:rsidRPr="004202A8">
              <w:rPr>
                <w:rFonts w:ascii="Verdana" w:hAnsi="Verdana"/>
                <w:b/>
                <w:lang w:val="tr-TR"/>
              </w:rPr>
              <w:lastRenderedPageBreak/>
              <w:t>Slayt Numaraları</w:t>
            </w:r>
          </w:p>
        </w:tc>
        <w:tc>
          <w:tcPr>
            <w:tcW w:w="7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6FD64B5" w14:textId="77777777" w:rsidR="00164D60" w:rsidRPr="004202A8" w:rsidRDefault="005E32D5" w:rsidP="004202A8">
            <w:pPr>
              <w:spacing w:before="120" w:after="120" w:line="260" w:lineRule="atLeast"/>
              <w:rPr>
                <w:rFonts w:ascii="Verdana" w:hAnsi="Verdana"/>
                <w:b/>
                <w:lang w:val="tr-TR"/>
              </w:rPr>
            </w:pPr>
            <w:r w:rsidRPr="004202A8">
              <w:rPr>
                <w:rFonts w:ascii="Verdana" w:hAnsi="Verdana"/>
                <w:b/>
                <w:lang w:val="tr-TR"/>
              </w:rPr>
              <w:t>İçerik</w:t>
            </w:r>
          </w:p>
        </w:tc>
      </w:tr>
      <w:tr w:rsidR="00164D60" w:rsidRPr="004202A8" w14:paraId="498DB41D" w14:textId="77777777" w:rsidTr="000821F5">
        <w:trPr>
          <w:trHeight w:val="59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9F88A" w14:textId="77777777" w:rsidR="00164D60" w:rsidRPr="004202A8" w:rsidRDefault="005E32D5" w:rsidP="004202A8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>1 -</w:t>
            </w:r>
            <w:r w:rsidR="00164D60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 3</w:t>
            </w:r>
          </w:p>
          <w:p w14:paraId="5EE0C3C9" w14:textId="77777777" w:rsidR="00164D60" w:rsidRPr="004202A8" w:rsidRDefault="000821F5" w:rsidP="004202A8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Zorunlu </w:t>
            </w:r>
            <w:r w:rsidR="002F58A5" w:rsidRPr="004202A8">
              <w:rPr>
                <w:rFonts w:ascii="Verdana" w:hAnsi="Verdana"/>
                <w:sz w:val="18"/>
                <w:szCs w:val="18"/>
                <w:lang w:val="tr-TR"/>
              </w:rPr>
              <w:t>Slaytlar</w:t>
            </w:r>
          </w:p>
        </w:tc>
        <w:tc>
          <w:tcPr>
            <w:tcW w:w="7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3E74F" w14:textId="77777777" w:rsidR="00164D60" w:rsidRPr="004202A8" w:rsidRDefault="00320EB4" w:rsidP="004202A8">
            <w:pPr>
              <w:spacing w:before="120" w:after="120" w:line="260" w:lineRule="atLeast"/>
              <w:jc w:val="both"/>
              <w:rPr>
                <w:rFonts w:ascii="Verdana" w:hAnsi="Verdana"/>
                <w:color w:val="000000"/>
                <w:sz w:val="18"/>
                <w:szCs w:val="18"/>
                <w:lang w:val="tr-TR"/>
              </w:rPr>
            </w:pPr>
            <w:r w:rsidRPr="004202A8">
              <w:rPr>
                <w:rFonts w:ascii="Verdana" w:hAnsi="Verdana"/>
                <w:color w:val="000000"/>
                <w:sz w:val="18"/>
                <w:szCs w:val="18"/>
                <w:lang w:val="tr-TR"/>
              </w:rPr>
              <w:t xml:space="preserve">Açılış slaytları oturuma giriş niteliğindedir ve </w:t>
            </w:r>
            <w:r w:rsidR="00514448" w:rsidRPr="004202A8">
              <w:rPr>
                <w:rFonts w:ascii="Verdana" w:hAnsi="Verdana"/>
                <w:color w:val="000000"/>
                <w:sz w:val="18"/>
                <w:szCs w:val="18"/>
                <w:lang w:val="tr-TR"/>
              </w:rPr>
              <w:t xml:space="preserve">oturumun </w:t>
            </w:r>
            <w:r w:rsidRPr="004202A8">
              <w:rPr>
                <w:rFonts w:ascii="Verdana" w:hAnsi="Verdana"/>
                <w:color w:val="000000"/>
                <w:sz w:val="18"/>
                <w:szCs w:val="18"/>
                <w:lang w:val="tr-TR"/>
              </w:rPr>
              <w:t>gündemi</w:t>
            </w:r>
            <w:r w:rsidR="00514448" w:rsidRPr="004202A8">
              <w:rPr>
                <w:rFonts w:ascii="Verdana" w:hAnsi="Verdana"/>
                <w:color w:val="000000"/>
                <w:sz w:val="18"/>
                <w:szCs w:val="18"/>
                <w:lang w:val="tr-TR"/>
              </w:rPr>
              <w:t>ni ve</w:t>
            </w:r>
            <w:r w:rsidRPr="004202A8">
              <w:rPr>
                <w:rFonts w:ascii="Verdana" w:hAnsi="Verdana"/>
                <w:color w:val="000000"/>
                <w:sz w:val="18"/>
                <w:szCs w:val="18"/>
                <w:lang w:val="tr-TR"/>
              </w:rPr>
              <w:t xml:space="preserve"> </w:t>
            </w:r>
            <w:r w:rsidR="00AC3C10" w:rsidRPr="004202A8">
              <w:rPr>
                <w:rFonts w:ascii="Verdana" w:hAnsi="Verdana"/>
                <w:color w:val="000000"/>
                <w:sz w:val="18"/>
                <w:szCs w:val="18"/>
                <w:lang w:val="tr-TR"/>
              </w:rPr>
              <w:t>amaç ve</w:t>
            </w:r>
            <w:r w:rsidRPr="004202A8">
              <w:rPr>
                <w:rFonts w:ascii="Verdana" w:hAnsi="Verdana"/>
                <w:color w:val="000000"/>
                <w:sz w:val="18"/>
                <w:szCs w:val="18"/>
                <w:lang w:val="tr-TR"/>
              </w:rPr>
              <w:t xml:space="preserve"> hedeflerini içeri</w:t>
            </w:r>
            <w:r w:rsidR="00514448" w:rsidRPr="004202A8">
              <w:rPr>
                <w:rFonts w:ascii="Verdana" w:hAnsi="Verdana"/>
                <w:color w:val="000000"/>
                <w:sz w:val="18"/>
                <w:szCs w:val="18"/>
                <w:lang w:val="tr-TR"/>
              </w:rPr>
              <w:t>r</w:t>
            </w:r>
            <w:r w:rsidRPr="004202A8">
              <w:rPr>
                <w:rFonts w:ascii="Verdana" w:hAnsi="Verdana"/>
                <w:color w:val="000000"/>
                <w:sz w:val="18"/>
                <w:szCs w:val="18"/>
                <w:lang w:val="tr-TR"/>
              </w:rPr>
              <w:t xml:space="preserve">. </w:t>
            </w:r>
          </w:p>
        </w:tc>
      </w:tr>
      <w:tr w:rsidR="00164D60" w:rsidRPr="004202A8" w14:paraId="4E251198" w14:textId="77777777" w:rsidTr="000821F5">
        <w:trPr>
          <w:trHeight w:val="188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3A476" w14:textId="77777777" w:rsidR="00164D60" w:rsidRPr="004202A8" w:rsidRDefault="00440CF2" w:rsidP="004202A8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>4 -</w:t>
            </w:r>
            <w:r w:rsidR="00164D60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 7</w:t>
            </w:r>
          </w:p>
          <w:p w14:paraId="2A091A3C" w14:textId="77777777" w:rsidR="00164D60" w:rsidRPr="004202A8" w:rsidRDefault="000821F5" w:rsidP="004202A8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Zorunlu </w:t>
            </w:r>
            <w:r w:rsidR="00440CF2" w:rsidRPr="004202A8">
              <w:rPr>
                <w:rFonts w:ascii="Verdana" w:hAnsi="Verdana"/>
                <w:sz w:val="18"/>
                <w:szCs w:val="18"/>
                <w:lang w:val="tr-TR"/>
              </w:rPr>
              <w:t>Slaytlar</w:t>
            </w:r>
          </w:p>
        </w:tc>
        <w:tc>
          <w:tcPr>
            <w:tcW w:w="7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041B2" w14:textId="77777777" w:rsidR="00164D60" w:rsidRPr="004202A8" w:rsidRDefault="00EF4C0E" w:rsidP="004202A8">
            <w:pPr>
              <w:spacing w:before="120" w:after="120" w:line="260" w:lineRule="atLeast"/>
              <w:jc w:val="both"/>
              <w:rPr>
                <w:rFonts w:ascii="Verdana" w:eastAsia="Times New Roman" w:hAnsi="Verdana"/>
                <w:iCs/>
                <w:color w:val="000000"/>
                <w:sz w:val="18"/>
                <w:szCs w:val="18"/>
                <w:lang w:val="tr-TR"/>
              </w:rPr>
            </w:pPr>
            <w:r w:rsidRPr="004202A8">
              <w:rPr>
                <w:rFonts w:ascii="Verdana" w:eastAsia="Times New Roman" w:hAnsi="Verdana"/>
                <w:iCs/>
                <w:color w:val="000000"/>
                <w:sz w:val="18"/>
                <w:szCs w:val="18"/>
                <w:lang w:val="tr-TR"/>
              </w:rPr>
              <w:t>Bu slaytlar nelerin siber suç</w:t>
            </w:r>
            <w:r w:rsidR="00C64F1D" w:rsidRPr="004202A8">
              <w:rPr>
                <w:rFonts w:ascii="Verdana" w:eastAsia="Times New Roman" w:hAnsi="Verdana"/>
                <w:iCs/>
                <w:color w:val="000000"/>
                <w:sz w:val="18"/>
                <w:szCs w:val="18"/>
                <w:lang w:val="tr-TR"/>
              </w:rPr>
              <w:t xml:space="preserve"> teşkil ettiğine</w:t>
            </w:r>
            <w:r w:rsidRPr="004202A8">
              <w:rPr>
                <w:rFonts w:ascii="Verdana" w:eastAsia="Times New Roman" w:hAnsi="Verdana"/>
                <w:iCs/>
                <w:color w:val="000000"/>
                <w:sz w:val="18"/>
                <w:szCs w:val="18"/>
                <w:lang w:val="tr-TR"/>
              </w:rPr>
              <w:t xml:space="preserve"> dair bir hatırlatma sun</w:t>
            </w:r>
            <w:r w:rsidR="00C64F1D" w:rsidRPr="004202A8">
              <w:rPr>
                <w:rFonts w:ascii="Verdana" w:eastAsia="Times New Roman" w:hAnsi="Verdana"/>
                <w:iCs/>
                <w:color w:val="000000"/>
                <w:sz w:val="18"/>
                <w:szCs w:val="18"/>
                <w:lang w:val="tr-TR"/>
              </w:rPr>
              <w:t>maktadır</w:t>
            </w:r>
            <w:r w:rsidRPr="004202A8">
              <w:rPr>
                <w:rFonts w:ascii="Verdana" w:eastAsia="Times New Roman" w:hAnsi="Verdana"/>
                <w:iCs/>
                <w:color w:val="000000"/>
                <w:sz w:val="18"/>
                <w:szCs w:val="18"/>
                <w:lang w:val="tr-TR"/>
              </w:rPr>
              <w:t xml:space="preserve">. </w:t>
            </w:r>
            <w:r w:rsidR="007F2154" w:rsidRPr="004202A8">
              <w:rPr>
                <w:rFonts w:ascii="Verdana" w:eastAsia="Times New Roman" w:hAnsi="Verdana"/>
                <w:iCs/>
                <w:color w:val="000000"/>
                <w:sz w:val="18"/>
                <w:szCs w:val="18"/>
                <w:lang w:val="tr-TR"/>
              </w:rPr>
              <w:t xml:space="preserve">Bu slaytlarla eğiticinin iletmesi gerektiği ana mesaj, her şeyin bir siber suç olmadığıdır. </w:t>
            </w:r>
            <w:r w:rsidR="00210413" w:rsidRPr="004202A8">
              <w:rPr>
                <w:rFonts w:ascii="Verdana" w:eastAsia="Times New Roman" w:hAnsi="Verdana"/>
                <w:iCs/>
                <w:color w:val="000000"/>
                <w:sz w:val="18"/>
                <w:szCs w:val="18"/>
                <w:lang w:val="tr-TR"/>
              </w:rPr>
              <w:t xml:space="preserve">Eğitici çeşitli geleneksel suçları örnek olarak gösterebilir (mesela cinayet, hırsızlık gibi) ve katılımcılara bir bilgisayar sisteminin ya da bilgisayar verisinin bir suçun işlenmesine </w:t>
            </w:r>
            <w:r w:rsidR="00C64F1D" w:rsidRPr="004202A8">
              <w:rPr>
                <w:rFonts w:ascii="Verdana" w:eastAsia="Times New Roman" w:hAnsi="Verdana"/>
                <w:iCs/>
                <w:color w:val="000000"/>
                <w:sz w:val="18"/>
                <w:szCs w:val="18"/>
                <w:lang w:val="tr-TR"/>
              </w:rPr>
              <w:t>dâhil</w:t>
            </w:r>
            <w:r w:rsidR="00210413" w:rsidRPr="004202A8">
              <w:rPr>
                <w:rFonts w:ascii="Verdana" w:eastAsia="Times New Roman" w:hAnsi="Verdana"/>
                <w:iCs/>
                <w:color w:val="000000"/>
                <w:sz w:val="18"/>
                <w:szCs w:val="18"/>
                <w:lang w:val="tr-TR"/>
              </w:rPr>
              <w:t xml:space="preserve"> olmasının</w:t>
            </w:r>
            <w:r w:rsidR="00C64F1D" w:rsidRPr="004202A8">
              <w:rPr>
                <w:rFonts w:ascii="Verdana" w:eastAsia="Times New Roman" w:hAnsi="Verdana"/>
                <w:iCs/>
                <w:color w:val="000000"/>
                <w:sz w:val="18"/>
                <w:szCs w:val="18"/>
                <w:lang w:val="tr-TR"/>
              </w:rPr>
              <w:t xml:space="preserve"> o suçu bir siber</w:t>
            </w:r>
            <w:r w:rsidR="00210413" w:rsidRPr="004202A8">
              <w:rPr>
                <w:rFonts w:ascii="Verdana" w:eastAsia="Times New Roman" w:hAnsi="Verdana"/>
                <w:iCs/>
                <w:color w:val="000000"/>
                <w:sz w:val="18"/>
                <w:szCs w:val="18"/>
                <w:lang w:val="tr-TR"/>
              </w:rPr>
              <w:t xml:space="preserve"> suç</w:t>
            </w:r>
            <w:r w:rsidR="00C64F1D" w:rsidRPr="004202A8">
              <w:rPr>
                <w:rFonts w:ascii="Verdana" w:eastAsia="Times New Roman" w:hAnsi="Verdana"/>
                <w:iCs/>
                <w:color w:val="000000"/>
                <w:sz w:val="18"/>
                <w:szCs w:val="18"/>
                <w:lang w:val="tr-TR"/>
              </w:rPr>
              <w:t>a dönüştürüp dönüştürmeyeceğini</w:t>
            </w:r>
            <w:r w:rsidR="00210413" w:rsidRPr="004202A8">
              <w:rPr>
                <w:rFonts w:ascii="Verdana" w:eastAsia="Times New Roman" w:hAnsi="Verdana"/>
                <w:iCs/>
                <w:color w:val="000000"/>
                <w:sz w:val="18"/>
                <w:szCs w:val="18"/>
                <w:lang w:val="tr-TR"/>
              </w:rPr>
              <w:t xml:space="preserve">  sorabilir.  </w:t>
            </w:r>
          </w:p>
        </w:tc>
      </w:tr>
      <w:tr w:rsidR="00164D60" w:rsidRPr="004202A8" w14:paraId="766BE090" w14:textId="77777777" w:rsidTr="004202A8">
        <w:trPr>
          <w:trHeight w:val="1606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0DC71" w14:textId="77777777" w:rsidR="00164D60" w:rsidRPr="004202A8" w:rsidRDefault="00A30053" w:rsidP="004202A8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>8 -</w:t>
            </w:r>
            <w:r w:rsidR="00164D60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 16</w:t>
            </w:r>
          </w:p>
          <w:p w14:paraId="2AB5CE4B" w14:textId="77777777" w:rsidR="00164D60" w:rsidRPr="004202A8" w:rsidRDefault="000821F5" w:rsidP="004202A8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Zorunlu </w:t>
            </w:r>
            <w:r w:rsidR="00A30053" w:rsidRPr="004202A8">
              <w:rPr>
                <w:rFonts w:ascii="Verdana" w:hAnsi="Verdana"/>
                <w:sz w:val="18"/>
                <w:szCs w:val="18"/>
                <w:lang w:val="tr-TR"/>
              </w:rPr>
              <w:t>Slaytlar</w:t>
            </w:r>
          </w:p>
        </w:tc>
        <w:tc>
          <w:tcPr>
            <w:tcW w:w="7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7D4D0" w14:textId="77777777" w:rsidR="00164D60" w:rsidRPr="004202A8" w:rsidRDefault="00245E34" w:rsidP="004202A8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tr-TR"/>
              </w:rPr>
            </w:pP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>Bu slaytlar</w:t>
            </w:r>
            <w:r w:rsidR="00C64F1D" w:rsidRPr="004202A8">
              <w:rPr>
                <w:rFonts w:ascii="Verdana" w:hAnsi="Verdana"/>
                <w:sz w:val="18"/>
                <w:szCs w:val="18"/>
                <w:lang w:val="tr-TR"/>
              </w:rPr>
              <w:t>,</w:t>
            </w: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 Budapeşte Sözleşmesinin 1</w:t>
            </w:r>
            <w:r w:rsidR="00C64F1D" w:rsidRPr="004202A8">
              <w:rPr>
                <w:rFonts w:ascii="Verdana" w:hAnsi="Verdana"/>
                <w:sz w:val="18"/>
                <w:szCs w:val="18"/>
                <w:lang w:val="tr-TR"/>
              </w:rPr>
              <w:t>’</w:t>
            </w: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>inci maddesin</w:t>
            </w:r>
            <w:r w:rsidR="00C64F1D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de sunulan tanımları hatırlatma niteliğindedir </w:t>
            </w: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 (bilgisayar sistemi, bilgisayar verisi, servis sağlayıcı ve veri trafiği). </w:t>
            </w:r>
            <w:r w:rsidR="00EB10EF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Aynı zamanda bu bölümde eğiticinin katılımcıların bilgi düzeyini </w:t>
            </w:r>
            <w:r w:rsidR="00C64F1D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ölçebileceği </w:t>
            </w:r>
            <w:r w:rsidR="00EB10EF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iki anket </w:t>
            </w:r>
            <w:r w:rsidR="00C64F1D" w:rsidRPr="004202A8">
              <w:rPr>
                <w:rFonts w:ascii="Verdana" w:hAnsi="Verdana"/>
                <w:sz w:val="18"/>
                <w:szCs w:val="18"/>
                <w:lang w:val="tr-TR"/>
              </w:rPr>
              <w:t>sorusu bulunmaktadır</w:t>
            </w:r>
            <w:r w:rsidR="00EB10EF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. </w:t>
            </w:r>
          </w:p>
        </w:tc>
      </w:tr>
      <w:tr w:rsidR="00164D60" w:rsidRPr="004202A8" w14:paraId="42E22D8E" w14:textId="77777777" w:rsidTr="000821F5">
        <w:trPr>
          <w:trHeight w:val="79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2EC93" w14:textId="77777777" w:rsidR="00164D60" w:rsidRPr="004202A8" w:rsidRDefault="00591630" w:rsidP="004202A8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>17 -</w:t>
            </w:r>
            <w:r w:rsidR="00164D60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 86</w:t>
            </w:r>
          </w:p>
          <w:p w14:paraId="568A8B68" w14:textId="77777777" w:rsidR="00164D60" w:rsidRPr="004202A8" w:rsidRDefault="000821F5" w:rsidP="004202A8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Zorunlu </w:t>
            </w:r>
            <w:r w:rsidR="00591630" w:rsidRPr="004202A8">
              <w:rPr>
                <w:rFonts w:ascii="Verdana" w:hAnsi="Verdana"/>
                <w:sz w:val="18"/>
                <w:szCs w:val="18"/>
                <w:lang w:val="tr-TR"/>
              </w:rPr>
              <w:t>Slaytlar</w:t>
            </w:r>
          </w:p>
        </w:tc>
        <w:tc>
          <w:tcPr>
            <w:tcW w:w="7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303FA" w14:textId="77777777" w:rsidR="00526BE3" w:rsidRPr="004202A8" w:rsidRDefault="00A87913" w:rsidP="004202A8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tr-TR"/>
              </w:rPr>
            </w:pP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>Bu slaytlar, Budapeşte Sözleşmesinde 2</w:t>
            </w:r>
            <w:r w:rsidR="00E27312" w:rsidRPr="004202A8">
              <w:rPr>
                <w:rFonts w:ascii="Verdana" w:hAnsi="Verdana"/>
                <w:sz w:val="18"/>
                <w:szCs w:val="18"/>
                <w:lang w:val="tr-TR"/>
              </w:rPr>
              <w:t>’</w:t>
            </w: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>inci madde</w:t>
            </w:r>
            <w:r w:rsidR="00520A32" w:rsidRPr="004202A8">
              <w:rPr>
                <w:rFonts w:ascii="Verdana" w:hAnsi="Verdana"/>
                <w:sz w:val="18"/>
                <w:szCs w:val="18"/>
                <w:lang w:val="tr-TR"/>
              </w:rPr>
              <w:t>sin</w:t>
            </w: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>den 12</w:t>
            </w:r>
            <w:r w:rsidR="00E27312" w:rsidRPr="004202A8">
              <w:rPr>
                <w:rFonts w:ascii="Verdana" w:hAnsi="Verdana"/>
                <w:sz w:val="18"/>
                <w:szCs w:val="18"/>
                <w:lang w:val="tr-TR"/>
              </w:rPr>
              <w:t>’</w:t>
            </w: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>inci madde</w:t>
            </w:r>
            <w:r w:rsidR="00520A32" w:rsidRPr="004202A8">
              <w:rPr>
                <w:rFonts w:ascii="Verdana" w:hAnsi="Verdana"/>
                <w:sz w:val="18"/>
                <w:szCs w:val="18"/>
                <w:lang w:val="tr-TR"/>
              </w:rPr>
              <w:t>sine</w:t>
            </w: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 kadar </w:t>
            </w:r>
            <w:r w:rsidR="00E27312" w:rsidRPr="004202A8">
              <w:rPr>
                <w:rFonts w:ascii="Verdana" w:hAnsi="Verdana"/>
                <w:sz w:val="18"/>
                <w:szCs w:val="18"/>
                <w:lang w:val="tr-TR"/>
              </w:rPr>
              <w:t>maddi ceza</w:t>
            </w: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 hukuk</w:t>
            </w:r>
            <w:r w:rsidR="00E27312" w:rsidRPr="004202A8">
              <w:rPr>
                <w:rFonts w:ascii="Verdana" w:hAnsi="Verdana"/>
                <w:sz w:val="18"/>
                <w:szCs w:val="18"/>
                <w:lang w:val="tr-TR"/>
              </w:rPr>
              <w:t>u</w:t>
            </w: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 hükümlerini </w:t>
            </w:r>
            <w:r w:rsidR="00E27312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hatırlatıcı bilgiler içermektedir </w:t>
            </w: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(yasadışı erişim, yasadışı </w:t>
            </w:r>
            <w:r w:rsidR="00E27312" w:rsidRPr="004202A8">
              <w:rPr>
                <w:rFonts w:ascii="Verdana" w:hAnsi="Verdana"/>
                <w:sz w:val="18"/>
                <w:szCs w:val="18"/>
                <w:lang w:val="tr-TR"/>
              </w:rPr>
              <w:t>el koyma</w:t>
            </w: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, veri müdahalesi, sistem müdahalesi, cihazların kötüye kullanılması, bilgisayar </w:t>
            </w:r>
            <w:r w:rsidR="007D222C" w:rsidRPr="004202A8">
              <w:rPr>
                <w:rFonts w:ascii="Verdana" w:hAnsi="Verdana"/>
                <w:sz w:val="18"/>
                <w:szCs w:val="18"/>
                <w:lang w:val="tr-TR"/>
              </w:rPr>
              <w:t>sahtekârlığı</w:t>
            </w: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, bilgisayar dolandırıcılığı, çocuk pornografisi, telif hakları ve benzer hakların ihlaline ilişkin suçlar, </w:t>
            </w:r>
            <w:r w:rsidR="007D222C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suça teşebbüs, yardım </w:t>
            </w:r>
            <w:r w:rsidR="00526BE3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ve </w:t>
            </w:r>
            <w:r w:rsidR="007D222C" w:rsidRPr="004202A8">
              <w:rPr>
                <w:rFonts w:ascii="Verdana" w:hAnsi="Verdana"/>
                <w:sz w:val="18"/>
                <w:szCs w:val="18"/>
                <w:lang w:val="tr-TR"/>
              </w:rPr>
              <w:t>yataklık</w:t>
            </w:r>
            <w:r w:rsidR="00526BE3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 etmek).</w:t>
            </w: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  <w:r w:rsidR="00526BE3" w:rsidRPr="004202A8">
              <w:rPr>
                <w:rFonts w:ascii="Verdana" w:hAnsi="Verdana"/>
                <w:sz w:val="18"/>
                <w:szCs w:val="18"/>
                <w:lang w:val="tr-TR"/>
              </w:rPr>
              <w:t>Aynı zamanda bu bölümde, eğiticinin katılımcılar</w:t>
            </w:r>
            <w:r w:rsidR="00631513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ın bilgi düzeyini </w:t>
            </w:r>
            <w:r w:rsidR="00E27312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ölçmek </w:t>
            </w:r>
            <w:r w:rsidR="00631513" w:rsidRPr="004202A8">
              <w:rPr>
                <w:rFonts w:ascii="Verdana" w:hAnsi="Verdana"/>
                <w:sz w:val="18"/>
                <w:szCs w:val="18"/>
                <w:lang w:val="tr-TR"/>
              </w:rPr>
              <w:t>için kullanabileceği</w:t>
            </w:r>
            <w:r w:rsidR="00526BE3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 birkaç anket </w:t>
            </w:r>
            <w:r w:rsidR="00E27312" w:rsidRPr="004202A8">
              <w:rPr>
                <w:rFonts w:ascii="Verdana" w:hAnsi="Verdana"/>
                <w:sz w:val="18"/>
                <w:szCs w:val="18"/>
                <w:lang w:val="tr-TR"/>
              </w:rPr>
              <w:t>sorusu bulunmaktadır</w:t>
            </w:r>
            <w:r w:rsidR="00526BE3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.  </w:t>
            </w:r>
          </w:p>
          <w:p w14:paraId="208C5694" w14:textId="77777777" w:rsidR="00164D60" w:rsidRPr="004202A8" w:rsidRDefault="00587C3B" w:rsidP="004202A8">
            <w:pPr>
              <w:spacing w:before="120" w:after="120" w:line="260" w:lineRule="atLeast"/>
              <w:jc w:val="both"/>
              <w:rPr>
                <w:rFonts w:ascii="Verdana" w:eastAsia="Times New Roman" w:hAnsi="Verdana"/>
                <w:iCs/>
                <w:color w:val="000000"/>
                <w:sz w:val="18"/>
                <w:lang w:val="tr-TR"/>
              </w:rPr>
            </w:pPr>
            <w:r w:rsidRPr="004202A8">
              <w:rPr>
                <w:rFonts w:ascii="Verdana" w:eastAsia="Times New Roman" w:hAnsi="Verdana"/>
                <w:iCs/>
                <w:color w:val="000000"/>
                <w:sz w:val="18"/>
                <w:lang w:val="tr-TR"/>
              </w:rPr>
              <w:t xml:space="preserve">İlk slaytlar </w:t>
            </w:r>
            <w:r w:rsidR="00E27312" w:rsidRPr="004202A8">
              <w:rPr>
                <w:rFonts w:ascii="Verdana" w:eastAsia="Times New Roman" w:hAnsi="Verdana"/>
                <w:iCs/>
                <w:color w:val="000000"/>
                <w:sz w:val="18"/>
                <w:lang w:val="tr-TR"/>
              </w:rPr>
              <w:t>maddi ceza</w:t>
            </w:r>
            <w:r w:rsidRPr="004202A8">
              <w:rPr>
                <w:rFonts w:ascii="Verdana" w:eastAsia="Times New Roman" w:hAnsi="Verdana"/>
                <w:iCs/>
                <w:color w:val="000000"/>
                <w:sz w:val="18"/>
                <w:lang w:val="tr-TR"/>
              </w:rPr>
              <w:t xml:space="preserve"> hukuk</w:t>
            </w:r>
            <w:r w:rsidR="00E27312" w:rsidRPr="004202A8">
              <w:rPr>
                <w:rFonts w:ascii="Verdana" w:eastAsia="Times New Roman" w:hAnsi="Verdana"/>
                <w:iCs/>
                <w:color w:val="000000"/>
                <w:sz w:val="18"/>
                <w:lang w:val="tr-TR"/>
              </w:rPr>
              <w:t>u</w:t>
            </w:r>
            <w:r w:rsidRPr="004202A8">
              <w:rPr>
                <w:rFonts w:ascii="Verdana" w:eastAsia="Times New Roman" w:hAnsi="Verdana"/>
                <w:iCs/>
                <w:color w:val="000000"/>
                <w:sz w:val="18"/>
                <w:lang w:val="tr-TR"/>
              </w:rPr>
              <w:t xml:space="preserve"> hükümlerinin ana unsurlarının bir özetini </w:t>
            </w:r>
            <w:r w:rsidR="00E27312" w:rsidRPr="004202A8">
              <w:rPr>
                <w:rFonts w:ascii="Verdana" w:eastAsia="Times New Roman" w:hAnsi="Verdana"/>
                <w:iCs/>
                <w:color w:val="000000"/>
                <w:sz w:val="18"/>
                <w:lang w:val="tr-TR"/>
              </w:rPr>
              <w:t>sunmaktadır</w:t>
            </w:r>
            <w:r w:rsidRPr="004202A8">
              <w:rPr>
                <w:rFonts w:ascii="Verdana" w:eastAsia="Times New Roman" w:hAnsi="Verdana"/>
                <w:iCs/>
                <w:color w:val="000000"/>
                <w:sz w:val="18"/>
                <w:lang w:val="tr-TR"/>
              </w:rPr>
              <w:t xml:space="preserve">. Kalan diğer slaytlar iki sütuna </w:t>
            </w:r>
            <w:r w:rsidR="00520A32" w:rsidRPr="004202A8">
              <w:rPr>
                <w:rFonts w:ascii="Verdana" w:eastAsia="Times New Roman" w:hAnsi="Verdana"/>
                <w:iCs/>
                <w:color w:val="000000"/>
                <w:sz w:val="18"/>
                <w:lang w:val="tr-TR"/>
              </w:rPr>
              <w:t>ayrılmıştır</w:t>
            </w:r>
            <w:r w:rsidRPr="004202A8">
              <w:rPr>
                <w:rFonts w:ascii="Verdana" w:eastAsia="Times New Roman" w:hAnsi="Verdana"/>
                <w:iCs/>
                <w:color w:val="000000"/>
                <w:sz w:val="18"/>
                <w:lang w:val="tr-TR"/>
              </w:rPr>
              <w:t xml:space="preserve">. Sol taraftaki sütun belirli bir unsuru vurgulayarak Budapeşte Sözleşmesi metnini tekrarlarken, sağ taraftaki sütun vurgulanan unsura bir örnek </w:t>
            </w:r>
            <w:r w:rsidR="00520A32" w:rsidRPr="004202A8">
              <w:rPr>
                <w:rFonts w:ascii="Verdana" w:eastAsia="Times New Roman" w:hAnsi="Verdana"/>
                <w:iCs/>
                <w:color w:val="000000"/>
                <w:sz w:val="18"/>
                <w:lang w:val="tr-TR"/>
              </w:rPr>
              <w:t>sunmaktadır</w:t>
            </w:r>
            <w:r w:rsidRPr="004202A8">
              <w:rPr>
                <w:rFonts w:ascii="Verdana" w:eastAsia="Times New Roman" w:hAnsi="Verdana"/>
                <w:iCs/>
                <w:color w:val="000000"/>
                <w:sz w:val="18"/>
                <w:lang w:val="tr-TR"/>
              </w:rPr>
              <w:t xml:space="preserve">. </w:t>
            </w:r>
            <w:r w:rsidR="00365BF2" w:rsidRPr="004202A8">
              <w:rPr>
                <w:rFonts w:ascii="Verdana" w:eastAsia="Times New Roman" w:hAnsi="Verdana"/>
                <w:iCs/>
                <w:color w:val="000000"/>
                <w:sz w:val="18"/>
                <w:lang w:val="tr-TR"/>
              </w:rPr>
              <w:t xml:space="preserve">Katılımcıların </w:t>
            </w:r>
            <w:r w:rsidR="00520A32" w:rsidRPr="004202A8">
              <w:rPr>
                <w:rFonts w:ascii="Verdana" w:eastAsia="Times New Roman" w:hAnsi="Verdana"/>
                <w:iCs/>
                <w:color w:val="000000"/>
                <w:sz w:val="18"/>
                <w:lang w:val="tr-TR"/>
              </w:rPr>
              <w:t>maddi ceza hukuku</w:t>
            </w:r>
            <w:r w:rsidR="00365BF2" w:rsidRPr="004202A8">
              <w:rPr>
                <w:rFonts w:ascii="Verdana" w:eastAsia="Times New Roman" w:hAnsi="Verdana"/>
                <w:iCs/>
                <w:color w:val="000000"/>
                <w:sz w:val="18"/>
                <w:lang w:val="tr-TR"/>
              </w:rPr>
              <w:t xml:space="preserve"> hükümlerini kapsamlı bir şekilde anlaması için eğiticinin her unsur</w:t>
            </w:r>
            <w:r w:rsidR="00520A32" w:rsidRPr="004202A8">
              <w:rPr>
                <w:rFonts w:ascii="Verdana" w:eastAsia="Times New Roman" w:hAnsi="Verdana"/>
                <w:iCs/>
                <w:color w:val="000000"/>
                <w:sz w:val="18"/>
                <w:lang w:val="tr-TR"/>
              </w:rPr>
              <w:t>un</w:t>
            </w:r>
            <w:r w:rsidR="00365BF2" w:rsidRPr="004202A8">
              <w:rPr>
                <w:rFonts w:ascii="Verdana" w:eastAsia="Times New Roman" w:hAnsi="Verdana"/>
                <w:iCs/>
                <w:color w:val="000000"/>
                <w:sz w:val="18"/>
                <w:lang w:val="tr-TR"/>
              </w:rPr>
              <w:t xml:space="preserve"> üzerinden geçmesi </w:t>
            </w:r>
            <w:r w:rsidR="00520A32" w:rsidRPr="004202A8">
              <w:rPr>
                <w:rFonts w:ascii="Verdana" w:eastAsia="Times New Roman" w:hAnsi="Verdana"/>
                <w:iCs/>
                <w:color w:val="000000"/>
                <w:sz w:val="18"/>
                <w:lang w:val="tr-TR"/>
              </w:rPr>
              <w:t>beklenmektedir</w:t>
            </w:r>
            <w:r w:rsidR="00365BF2" w:rsidRPr="004202A8">
              <w:rPr>
                <w:rFonts w:ascii="Verdana" w:eastAsia="Times New Roman" w:hAnsi="Verdana"/>
                <w:iCs/>
                <w:color w:val="000000"/>
                <w:sz w:val="18"/>
                <w:lang w:val="tr-TR"/>
              </w:rPr>
              <w:t xml:space="preserve">. </w:t>
            </w:r>
            <w:r w:rsidR="00FE4F65" w:rsidRPr="004202A8">
              <w:rPr>
                <w:rFonts w:ascii="Verdana" w:eastAsia="Times New Roman" w:hAnsi="Verdana"/>
                <w:iCs/>
                <w:color w:val="000000"/>
                <w:sz w:val="18"/>
                <w:lang w:val="tr-TR"/>
              </w:rPr>
              <w:t>Ancak, eğitici, katılımcıların Budapeşte Sözleşmesinin bu hükümler hakkında yeterli bilgiye sahip oldukları kanaatine varırsa, unsurların yer aldığı ayrıntılı slaytlar yerine her maddenin başındaki özet slaytlar</w:t>
            </w:r>
            <w:r w:rsidR="00520A32" w:rsidRPr="004202A8">
              <w:rPr>
                <w:rFonts w:ascii="Verdana" w:eastAsia="Times New Roman" w:hAnsi="Verdana"/>
                <w:iCs/>
                <w:color w:val="000000"/>
                <w:sz w:val="18"/>
                <w:lang w:val="tr-TR"/>
              </w:rPr>
              <w:t>ı</w:t>
            </w:r>
            <w:r w:rsidR="00FE4F65" w:rsidRPr="004202A8">
              <w:rPr>
                <w:rFonts w:ascii="Verdana" w:eastAsia="Times New Roman" w:hAnsi="Verdana"/>
                <w:iCs/>
                <w:color w:val="000000"/>
                <w:sz w:val="18"/>
                <w:lang w:val="tr-TR"/>
              </w:rPr>
              <w:t xml:space="preserve"> ele alabilir.  </w:t>
            </w:r>
          </w:p>
        </w:tc>
      </w:tr>
      <w:tr w:rsidR="00164D60" w:rsidRPr="004202A8" w14:paraId="7E4271CA" w14:textId="77777777" w:rsidTr="000821F5">
        <w:trPr>
          <w:trHeight w:val="79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A667E" w14:textId="77777777" w:rsidR="00164D60" w:rsidRPr="004202A8" w:rsidRDefault="00822D2A" w:rsidP="004202A8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87 - </w:t>
            </w:r>
            <w:r w:rsidR="00164D60" w:rsidRPr="004202A8">
              <w:rPr>
                <w:rFonts w:ascii="Verdana" w:hAnsi="Verdana"/>
                <w:sz w:val="18"/>
                <w:szCs w:val="18"/>
                <w:lang w:val="tr-TR"/>
              </w:rPr>
              <w:t>152</w:t>
            </w:r>
          </w:p>
          <w:p w14:paraId="163ADBAC" w14:textId="77777777" w:rsidR="00164D60" w:rsidRPr="004202A8" w:rsidRDefault="000821F5" w:rsidP="004202A8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Zorunlu </w:t>
            </w:r>
            <w:r w:rsidR="00822D2A" w:rsidRPr="004202A8">
              <w:rPr>
                <w:rFonts w:ascii="Verdana" w:hAnsi="Verdana"/>
                <w:sz w:val="18"/>
                <w:szCs w:val="18"/>
                <w:lang w:val="tr-TR"/>
              </w:rPr>
              <w:t>Slaytlar</w:t>
            </w:r>
          </w:p>
        </w:tc>
        <w:tc>
          <w:tcPr>
            <w:tcW w:w="7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A1E8A" w14:textId="77777777" w:rsidR="00164D60" w:rsidRPr="004202A8" w:rsidRDefault="00093CE1" w:rsidP="004202A8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tr-TR"/>
              </w:rPr>
            </w:pP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Bu slaytlar, Budapeşte Sözleşmesinin </w:t>
            </w:r>
            <w:r w:rsidR="003535DF" w:rsidRPr="004202A8">
              <w:rPr>
                <w:rFonts w:ascii="Verdana" w:hAnsi="Verdana"/>
                <w:sz w:val="18"/>
                <w:szCs w:val="18"/>
                <w:lang w:val="tr-TR"/>
              </w:rPr>
              <w:t>14</w:t>
            </w:r>
            <w:r w:rsidR="00520A32" w:rsidRPr="004202A8">
              <w:rPr>
                <w:rFonts w:ascii="Verdana" w:hAnsi="Verdana"/>
                <w:sz w:val="18"/>
                <w:szCs w:val="18"/>
                <w:lang w:val="tr-TR"/>
              </w:rPr>
              <w:t>’</w:t>
            </w:r>
            <w:r w:rsidR="003535DF" w:rsidRPr="004202A8">
              <w:rPr>
                <w:rFonts w:ascii="Verdana" w:hAnsi="Verdana"/>
                <w:sz w:val="18"/>
                <w:szCs w:val="18"/>
                <w:lang w:val="tr-TR"/>
              </w:rPr>
              <w:t>üncü madde</w:t>
            </w:r>
            <w:r w:rsidR="00520A32" w:rsidRPr="004202A8">
              <w:rPr>
                <w:rFonts w:ascii="Verdana" w:hAnsi="Verdana"/>
                <w:sz w:val="18"/>
                <w:szCs w:val="18"/>
                <w:lang w:val="tr-TR"/>
              </w:rPr>
              <w:t>sinden</w:t>
            </w:r>
            <w:r w:rsidR="003535DF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 21</w:t>
            </w:r>
            <w:r w:rsidR="00520A32" w:rsidRPr="004202A8">
              <w:rPr>
                <w:rFonts w:ascii="Verdana" w:hAnsi="Verdana"/>
                <w:sz w:val="18"/>
                <w:szCs w:val="18"/>
                <w:lang w:val="tr-TR"/>
              </w:rPr>
              <w:t>’</w:t>
            </w:r>
            <w:r w:rsidR="003535DF" w:rsidRPr="004202A8">
              <w:rPr>
                <w:rFonts w:ascii="Verdana" w:hAnsi="Verdana"/>
                <w:sz w:val="18"/>
                <w:szCs w:val="18"/>
                <w:lang w:val="tr-TR"/>
              </w:rPr>
              <w:t>inci madde</w:t>
            </w:r>
            <w:r w:rsidR="00520A32" w:rsidRPr="004202A8">
              <w:rPr>
                <w:rFonts w:ascii="Verdana" w:hAnsi="Verdana"/>
                <w:sz w:val="18"/>
                <w:szCs w:val="18"/>
                <w:lang w:val="tr-TR"/>
              </w:rPr>
              <w:t>sine</w:t>
            </w:r>
            <w:r w:rsidR="003535DF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 kadar</w:t>
            </w: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 usul hukuku hükümlerini </w:t>
            </w:r>
            <w:r w:rsidR="00520A32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hatırlatıcı bilgiler içermektedir </w:t>
            </w:r>
            <w:r w:rsidR="003535DF" w:rsidRPr="004202A8">
              <w:rPr>
                <w:rFonts w:ascii="Verdana" w:hAnsi="Verdana"/>
                <w:sz w:val="18"/>
                <w:szCs w:val="18"/>
                <w:lang w:val="tr-TR"/>
              </w:rPr>
              <w:t>(dava usulüne ait hükümler</w:t>
            </w:r>
            <w:r w:rsidR="00606D8A" w:rsidRPr="004202A8">
              <w:rPr>
                <w:rFonts w:ascii="Verdana" w:hAnsi="Verdana"/>
                <w:sz w:val="18"/>
                <w:szCs w:val="18"/>
                <w:lang w:val="tr-TR"/>
              </w:rPr>
              <w:t>in kullanım alanı</w:t>
            </w:r>
            <w:r w:rsidR="003535DF" w:rsidRPr="004202A8">
              <w:rPr>
                <w:rFonts w:ascii="Verdana" w:hAnsi="Verdana"/>
                <w:sz w:val="18"/>
                <w:szCs w:val="18"/>
                <w:lang w:val="tr-TR"/>
              </w:rPr>
              <w:t>,</w:t>
            </w:r>
            <w:r w:rsidR="00606D8A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 koşullar ve teminatlar, bilgisayar verilerinin hızlı </w:t>
            </w:r>
            <w:r w:rsidR="00520A32" w:rsidRPr="004202A8">
              <w:rPr>
                <w:rFonts w:ascii="Verdana" w:hAnsi="Verdana"/>
                <w:sz w:val="18"/>
                <w:szCs w:val="18"/>
                <w:lang w:val="tr-TR"/>
              </w:rPr>
              <w:t>korunması</w:t>
            </w:r>
            <w:r w:rsidR="00606D8A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, veri trafiğinin hızlı korunması ve kısmen ifşası, üretim emri, </w:t>
            </w:r>
            <w:r w:rsidR="00520A32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saklanan </w:t>
            </w:r>
            <w:r w:rsidR="00606D8A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bilgisayar </w:t>
            </w:r>
            <w:r w:rsidR="00520A32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verilerinin </w:t>
            </w:r>
            <w:r w:rsidR="00606D8A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aranması ve </w:t>
            </w:r>
            <w:r w:rsidR="00520A32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bunlara </w:t>
            </w:r>
            <w:r w:rsidR="00606D8A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el </w:t>
            </w:r>
            <w:r w:rsidR="00520A32" w:rsidRPr="004202A8">
              <w:rPr>
                <w:rFonts w:ascii="Verdana" w:hAnsi="Verdana"/>
                <w:sz w:val="18"/>
                <w:szCs w:val="18"/>
                <w:lang w:val="tr-TR"/>
              </w:rPr>
              <w:t>konulması</w:t>
            </w:r>
            <w:r w:rsidR="00606D8A" w:rsidRPr="004202A8">
              <w:rPr>
                <w:rFonts w:ascii="Verdana" w:hAnsi="Verdana"/>
                <w:sz w:val="18"/>
                <w:szCs w:val="18"/>
                <w:lang w:val="tr-TR"/>
              </w:rPr>
              <w:t>, veri trafiğinin gerçek zamanlı</w:t>
            </w:r>
            <w:r w:rsidR="00520A32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 olarak</w:t>
            </w:r>
            <w:r w:rsidR="00606D8A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 toplanması ve içerik </w:t>
            </w:r>
            <w:r w:rsidR="00520A32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verilerinin </w:t>
            </w:r>
            <w:r w:rsidR="00606D8A" w:rsidRPr="004202A8">
              <w:rPr>
                <w:rFonts w:ascii="Verdana" w:hAnsi="Verdana"/>
                <w:sz w:val="18"/>
                <w:szCs w:val="18"/>
                <w:lang w:val="tr-TR"/>
              </w:rPr>
              <w:t>ele geçirilmesi)</w:t>
            </w: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. </w:t>
            </w:r>
            <w:r w:rsidR="00606D8A" w:rsidRPr="004202A8">
              <w:rPr>
                <w:rFonts w:ascii="Verdana" w:hAnsi="Verdana"/>
                <w:sz w:val="18"/>
                <w:szCs w:val="18"/>
                <w:lang w:val="tr-TR"/>
              </w:rPr>
              <w:t>Aynı zamanda bu bölümde, eğiticinin katılımcıların bilg</w:t>
            </w:r>
            <w:r w:rsidR="00631513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i düzeyini </w:t>
            </w:r>
            <w:r w:rsidR="00520A32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ölçmek </w:t>
            </w:r>
            <w:r w:rsidR="00631513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için kullanabileceği birkaç anket </w:t>
            </w:r>
            <w:r w:rsidR="00520A32" w:rsidRPr="004202A8">
              <w:rPr>
                <w:rFonts w:ascii="Verdana" w:hAnsi="Verdana"/>
                <w:sz w:val="18"/>
                <w:szCs w:val="18"/>
                <w:lang w:val="tr-TR"/>
              </w:rPr>
              <w:t>sorusu bulunmaktadır</w:t>
            </w:r>
            <w:r w:rsidR="00631513" w:rsidRPr="004202A8">
              <w:rPr>
                <w:rFonts w:ascii="Verdana" w:hAnsi="Verdana"/>
                <w:sz w:val="18"/>
                <w:szCs w:val="18"/>
                <w:lang w:val="tr-TR"/>
              </w:rPr>
              <w:t>.</w:t>
            </w:r>
            <w:r w:rsidR="00606D8A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  <w:r w:rsidR="00D06955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İlk slaytlar usul hukuku hükümlerinin ana unsurlarının bir özetini </w:t>
            </w:r>
            <w:r w:rsidR="00520A32" w:rsidRPr="004202A8">
              <w:rPr>
                <w:rFonts w:ascii="Verdana" w:hAnsi="Verdana"/>
                <w:sz w:val="18"/>
                <w:szCs w:val="18"/>
                <w:lang w:val="tr-TR"/>
              </w:rPr>
              <w:t>sunmaktadır</w:t>
            </w:r>
            <w:r w:rsidR="00D06955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. Kalan </w:t>
            </w:r>
            <w:r w:rsidR="00520A32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diğer </w:t>
            </w:r>
            <w:r w:rsidR="00D06955" w:rsidRPr="004202A8">
              <w:rPr>
                <w:rFonts w:ascii="Verdana" w:hAnsi="Verdana"/>
                <w:sz w:val="18"/>
                <w:szCs w:val="18"/>
                <w:lang w:val="tr-TR"/>
              </w:rPr>
              <w:t>slaytlar iki sütuna ayrıl</w:t>
            </w:r>
            <w:r w:rsidR="00520A32" w:rsidRPr="004202A8">
              <w:rPr>
                <w:rFonts w:ascii="Verdana" w:hAnsi="Verdana"/>
                <w:sz w:val="18"/>
                <w:szCs w:val="18"/>
                <w:lang w:val="tr-TR"/>
              </w:rPr>
              <w:t>mıştır</w:t>
            </w:r>
            <w:r w:rsidR="00D06955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. </w:t>
            </w:r>
            <w:r w:rsidR="00077E83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Sol taraftaki sütun belirli bir unsuru vurgulayarak Budapeşte Sözleşmesi metnini tekrarlarken, sağ taraftaki sütun vurgulanan unsura bir örnek </w:t>
            </w:r>
            <w:r w:rsidR="00520A32" w:rsidRPr="004202A8">
              <w:rPr>
                <w:rFonts w:ascii="Verdana" w:hAnsi="Verdana"/>
                <w:sz w:val="18"/>
                <w:szCs w:val="18"/>
                <w:lang w:val="tr-TR"/>
              </w:rPr>
              <w:t>sunmaktadır</w:t>
            </w:r>
            <w:r w:rsidR="00077E83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. </w:t>
            </w:r>
            <w:r w:rsidR="00077E83" w:rsidRPr="004202A8">
              <w:rPr>
                <w:rFonts w:ascii="Verdana" w:eastAsia="Times New Roman" w:hAnsi="Verdana"/>
                <w:iCs/>
                <w:color w:val="000000"/>
                <w:sz w:val="18"/>
                <w:lang w:val="tr-TR"/>
              </w:rPr>
              <w:t>Katılımcıların usul hukuku hükümlerini kapsamlı bir şekilde anlaması için eğiticinin her unsur</w:t>
            </w:r>
            <w:r w:rsidR="00520A32" w:rsidRPr="004202A8">
              <w:rPr>
                <w:rFonts w:ascii="Verdana" w:eastAsia="Times New Roman" w:hAnsi="Verdana"/>
                <w:iCs/>
                <w:color w:val="000000"/>
                <w:sz w:val="18"/>
                <w:lang w:val="tr-TR"/>
              </w:rPr>
              <w:t>un</w:t>
            </w:r>
            <w:r w:rsidR="00077E83" w:rsidRPr="004202A8">
              <w:rPr>
                <w:rFonts w:ascii="Verdana" w:eastAsia="Times New Roman" w:hAnsi="Verdana"/>
                <w:iCs/>
                <w:color w:val="000000"/>
                <w:sz w:val="18"/>
                <w:lang w:val="tr-TR"/>
              </w:rPr>
              <w:t xml:space="preserve"> üzerinden geçmesi </w:t>
            </w:r>
            <w:r w:rsidR="00520A32" w:rsidRPr="004202A8">
              <w:rPr>
                <w:rFonts w:ascii="Verdana" w:eastAsia="Times New Roman" w:hAnsi="Verdana"/>
                <w:iCs/>
                <w:color w:val="000000"/>
                <w:sz w:val="18"/>
                <w:lang w:val="tr-TR"/>
              </w:rPr>
              <w:t>beklenmektedir</w:t>
            </w:r>
            <w:r w:rsidR="00077E83" w:rsidRPr="004202A8">
              <w:rPr>
                <w:rFonts w:ascii="Verdana" w:eastAsia="Times New Roman" w:hAnsi="Verdana"/>
                <w:iCs/>
                <w:color w:val="000000"/>
                <w:sz w:val="18"/>
                <w:lang w:val="tr-TR"/>
              </w:rPr>
              <w:t>.</w:t>
            </w:r>
            <w:r w:rsidR="000B0F8C" w:rsidRPr="004202A8">
              <w:rPr>
                <w:rFonts w:ascii="Verdana" w:eastAsia="Times New Roman" w:hAnsi="Verdana"/>
                <w:iCs/>
                <w:color w:val="000000"/>
                <w:sz w:val="18"/>
                <w:lang w:val="tr-TR"/>
              </w:rPr>
              <w:t xml:space="preserve"> Ancak, eğitici, </w:t>
            </w:r>
            <w:r w:rsidR="000B0F8C" w:rsidRPr="004202A8">
              <w:rPr>
                <w:rFonts w:ascii="Verdana" w:eastAsia="Times New Roman" w:hAnsi="Verdana"/>
                <w:iCs/>
                <w:color w:val="000000"/>
                <w:sz w:val="18"/>
                <w:lang w:val="tr-TR"/>
              </w:rPr>
              <w:lastRenderedPageBreak/>
              <w:t>katılımcıların Budapeşte Sözleşmesinin bu hükümler hakkında yeterli bilgiye sahip oldukları kanaatine varırsa, unsurların yer aldığı ayrıntılı slaytlar yerine her maddenin başındaki özet slaytlar</w:t>
            </w:r>
            <w:r w:rsidR="00520A32" w:rsidRPr="004202A8">
              <w:rPr>
                <w:rFonts w:ascii="Verdana" w:eastAsia="Times New Roman" w:hAnsi="Verdana"/>
                <w:iCs/>
                <w:color w:val="000000"/>
                <w:sz w:val="18"/>
                <w:lang w:val="tr-TR"/>
              </w:rPr>
              <w:t>ı</w:t>
            </w:r>
            <w:r w:rsidR="000B0F8C" w:rsidRPr="004202A8">
              <w:rPr>
                <w:rFonts w:ascii="Verdana" w:eastAsia="Times New Roman" w:hAnsi="Verdana"/>
                <w:iCs/>
                <w:color w:val="000000"/>
                <w:sz w:val="18"/>
                <w:lang w:val="tr-TR"/>
              </w:rPr>
              <w:t xml:space="preserve"> ele alabilir. </w:t>
            </w:r>
            <w:r w:rsidR="00520A32" w:rsidRPr="004202A8">
              <w:rPr>
                <w:rFonts w:ascii="Verdana" w:eastAsia="Times New Roman" w:hAnsi="Verdana"/>
                <w:iCs/>
                <w:color w:val="000000"/>
                <w:sz w:val="18"/>
                <w:lang w:val="tr-TR"/>
              </w:rPr>
              <w:t>Usul hukuku hükümleri</w:t>
            </w:r>
            <w:r w:rsidR="00520A32" w:rsidRPr="004202A8">
              <w:rPr>
                <w:rFonts w:ascii="Verdana" w:eastAsia="Times New Roman" w:hAnsi="Verdana" w:cstheme="minorBidi"/>
                <w:iCs/>
                <w:color w:val="000000"/>
                <w:sz w:val="18"/>
                <w:szCs w:val="22"/>
                <w:lang w:val="tr-TR"/>
              </w:rPr>
              <w:t xml:space="preserve"> </w:t>
            </w:r>
            <w:r w:rsidR="00520A32" w:rsidRPr="004202A8">
              <w:rPr>
                <w:rFonts w:ascii="Verdana" w:eastAsia="Times New Roman" w:hAnsi="Verdana"/>
                <w:iCs/>
                <w:color w:val="000000"/>
                <w:sz w:val="18"/>
                <w:lang w:val="tr-TR"/>
              </w:rPr>
              <w:t>karşılıklı yardımlaşma talebine ilişkin önlemler için kullanıldığından, eğ</w:t>
            </w:r>
            <w:r w:rsidR="00575350" w:rsidRPr="004202A8">
              <w:rPr>
                <w:rFonts w:ascii="Verdana" w:eastAsia="Times New Roman" w:hAnsi="Verdana"/>
                <w:iCs/>
                <w:color w:val="000000"/>
                <w:sz w:val="18"/>
                <w:lang w:val="tr-TR"/>
              </w:rPr>
              <w:t>itici</w:t>
            </w:r>
            <w:r w:rsidR="00FE7F0B" w:rsidRPr="004202A8">
              <w:rPr>
                <w:rFonts w:ascii="Verdana" w:eastAsia="Times New Roman" w:hAnsi="Verdana"/>
                <w:iCs/>
                <w:color w:val="000000"/>
                <w:sz w:val="18"/>
                <w:lang w:val="tr-TR"/>
              </w:rPr>
              <w:t>,</w:t>
            </w:r>
            <w:r w:rsidR="00575350" w:rsidRPr="004202A8">
              <w:rPr>
                <w:rFonts w:ascii="Verdana" w:eastAsia="Times New Roman" w:hAnsi="Verdana"/>
                <w:iCs/>
                <w:color w:val="000000"/>
                <w:sz w:val="18"/>
                <w:lang w:val="tr-TR"/>
              </w:rPr>
              <w:t xml:space="preserve"> katılımcılara</w:t>
            </w:r>
            <w:r w:rsidR="00FE7F0B" w:rsidRPr="004202A8">
              <w:rPr>
                <w:rFonts w:ascii="Verdana" w:eastAsia="Times New Roman" w:hAnsi="Verdana"/>
                <w:iCs/>
                <w:color w:val="000000"/>
                <w:sz w:val="18"/>
                <w:lang w:val="tr-TR"/>
              </w:rPr>
              <w:t>, bu eğitimin amacı olarak</w:t>
            </w:r>
            <w:r w:rsidR="00575350" w:rsidRPr="004202A8">
              <w:rPr>
                <w:rFonts w:ascii="Verdana" w:eastAsia="Times New Roman" w:hAnsi="Verdana"/>
                <w:iCs/>
                <w:color w:val="000000"/>
                <w:sz w:val="18"/>
                <w:lang w:val="tr-TR"/>
              </w:rPr>
              <w:t xml:space="preserve"> usul hukuku hükümlerini</w:t>
            </w:r>
            <w:r w:rsidR="00FE7F0B" w:rsidRPr="004202A8">
              <w:rPr>
                <w:rFonts w:ascii="Verdana" w:eastAsia="Times New Roman" w:hAnsi="Verdana"/>
                <w:iCs/>
                <w:color w:val="000000"/>
                <w:sz w:val="18"/>
                <w:lang w:val="tr-TR"/>
              </w:rPr>
              <w:t xml:space="preserve"> </w:t>
            </w:r>
            <w:r w:rsidR="00520A32" w:rsidRPr="004202A8">
              <w:rPr>
                <w:rFonts w:ascii="Verdana" w:eastAsia="Times New Roman" w:hAnsi="Verdana"/>
                <w:iCs/>
                <w:color w:val="000000"/>
                <w:sz w:val="18"/>
                <w:lang w:val="tr-TR"/>
              </w:rPr>
              <w:t xml:space="preserve">anlamanın </w:t>
            </w:r>
            <w:r w:rsidR="00FE7F0B" w:rsidRPr="004202A8">
              <w:rPr>
                <w:rFonts w:ascii="Verdana" w:eastAsia="Times New Roman" w:hAnsi="Verdana"/>
                <w:iCs/>
                <w:color w:val="000000"/>
                <w:sz w:val="18"/>
                <w:lang w:val="tr-TR"/>
              </w:rPr>
              <w:t xml:space="preserve">önemli olduğunu </w:t>
            </w:r>
            <w:r w:rsidR="00575350" w:rsidRPr="004202A8">
              <w:rPr>
                <w:rFonts w:ascii="Verdana" w:eastAsia="Times New Roman" w:hAnsi="Verdana"/>
                <w:iCs/>
                <w:color w:val="000000"/>
                <w:sz w:val="18"/>
                <w:lang w:val="tr-TR"/>
              </w:rPr>
              <w:t>sürekli hatırlatmalı</w:t>
            </w:r>
            <w:r w:rsidR="00520A32" w:rsidRPr="004202A8">
              <w:rPr>
                <w:rFonts w:ascii="Verdana" w:eastAsia="Times New Roman" w:hAnsi="Verdana"/>
                <w:iCs/>
                <w:color w:val="000000"/>
                <w:sz w:val="18"/>
                <w:lang w:val="tr-TR"/>
              </w:rPr>
              <w:t>dır</w:t>
            </w:r>
            <w:r w:rsidR="00A8398D" w:rsidRPr="004202A8">
              <w:rPr>
                <w:rFonts w:ascii="Verdana" w:eastAsia="Times New Roman" w:hAnsi="Verdana"/>
                <w:iCs/>
                <w:color w:val="000000"/>
                <w:sz w:val="18"/>
                <w:lang w:val="tr-TR"/>
              </w:rPr>
              <w:t xml:space="preserve">. </w:t>
            </w:r>
            <w:r w:rsidR="000B0F8C" w:rsidRPr="004202A8">
              <w:rPr>
                <w:rFonts w:ascii="Verdana" w:eastAsia="Times New Roman" w:hAnsi="Verdana"/>
                <w:iCs/>
                <w:color w:val="000000"/>
                <w:sz w:val="18"/>
                <w:lang w:val="tr-TR"/>
              </w:rPr>
              <w:t xml:space="preserve">  </w:t>
            </w:r>
          </w:p>
        </w:tc>
      </w:tr>
      <w:tr w:rsidR="00164D60" w:rsidRPr="004202A8" w14:paraId="49593819" w14:textId="77777777" w:rsidTr="000821F5">
        <w:trPr>
          <w:trHeight w:val="79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454AF" w14:textId="77777777" w:rsidR="00164D60" w:rsidRPr="004202A8" w:rsidRDefault="00A1615A" w:rsidP="004202A8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lastRenderedPageBreak/>
              <w:t>153 -</w:t>
            </w:r>
            <w:r w:rsidR="00164D60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 166</w:t>
            </w:r>
          </w:p>
          <w:p w14:paraId="6501929E" w14:textId="77777777" w:rsidR="00164D60" w:rsidRPr="004202A8" w:rsidRDefault="000821F5" w:rsidP="004202A8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Zorunlu </w:t>
            </w:r>
            <w:r w:rsidR="00A8398D" w:rsidRPr="004202A8">
              <w:rPr>
                <w:rFonts w:ascii="Verdana" w:hAnsi="Verdana"/>
                <w:sz w:val="18"/>
                <w:szCs w:val="18"/>
                <w:lang w:val="tr-TR"/>
              </w:rPr>
              <w:t>Slaytlar</w:t>
            </w:r>
          </w:p>
        </w:tc>
        <w:tc>
          <w:tcPr>
            <w:tcW w:w="7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29776" w14:textId="77777777" w:rsidR="00164D60" w:rsidRPr="004202A8" w:rsidRDefault="00605D1D" w:rsidP="004202A8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tr-TR"/>
              </w:rPr>
            </w:pP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>Bu slaytlar</w:t>
            </w:r>
            <w:r w:rsidR="00A1615A" w:rsidRPr="004202A8">
              <w:rPr>
                <w:rFonts w:ascii="Verdana" w:hAnsi="Verdana"/>
                <w:sz w:val="18"/>
                <w:szCs w:val="18"/>
                <w:lang w:val="tr-TR"/>
              </w:rPr>
              <w:t>,</w:t>
            </w: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  <w:r w:rsidR="00B161A1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resmi </w:t>
            </w:r>
            <w:r w:rsidR="00985DBE" w:rsidRPr="004202A8">
              <w:rPr>
                <w:rFonts w:ascii="Verdana" w:hAnsi="Verdana"/>
                <w:sz w:val="18"/>
                <w:szCs w:val="18"/>
                <w:lang w:val="tr-TR"/>
              </w:rPr>
              <w:t>uluslararası</w:t>
            </w: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  <w:r w:rsidR="00985DBE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işbirliğine ilişkin </w:t>
            </w:r>
            <w:r w:rsidR="004F4F82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uluslararası </w:t>
            </w:r>
            <w:r w:rsidR="00A1615A" w:rsidRPr="004202A8">
              <w:rPr>
                <w:rFonts w:ascii="Verdana" w:hAnsi="Verdana"/>
                <w:sz w:val="18"/>
                <w:szCs w:val="18"/>
                <w:lang w:val="tr-TR"/>
              </w:rPr>
              <w:t>ortam</w:t>
            </w:r>
            <w:r w:rsidR="00B161A1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a dair </w:t>
            </w:r>
            <w:r w:rsidR="00A1615A" w:rsidRPr="004202A8">
              <w:rPr>
                <w:rFonts w:ascii="Verdana" w:hAnsi="Verdana"/>
                <w:sz w:val="18"/>
                <w:szCs w:val="18"/>
                <w:lang w:val="tr-TR"/>
              </w:rPr>
              <w:t>bir değerlendirme sun</w:t>
            </w:r>
            <w:r w:rsidR="00B161A1" w:rsidRPr="004202A8">
              <w:rPr>
                <w:rFonts w:ascii="Verdana" w:hAnsi="Verdana"/>
                <w:sz w:val="18"/>
                <w:szCs w:val="18"/>
                <w:lang w:val="tr-TR"/>
              </w:rPr>
              <w:t>maktadır</w:t>
            </w:r>
            <w:r w:rsidR="00A1615A" w:rsidRPr="004202A8">
              <w:rPr>
                <w:rFonts w:ascii="Verdana" w:hAnsi="Verdana"/>
                <w:sz w:val="18"/>
                <w:szCs w:val="18"/>
                <w:lang w:val="tr-TR"/>
              </w:rPr>
              <w:t>. Slaytlar</w:t>
            </w:r>
            <w:r w:rsidR="00B161A1" w:rsidRPr="004202A8">
              <w:rPr>
                <w:rFonts w:ascii="Verdana" w:hAnsi="Verdana"/>
                <w:sz w:val="18"/>
                <w:szCs w:val="18"/>
                <w:lang w:val="tr-TR"/>
              </w:rPr>
              <w:t>da</w:t>
            </w:r>
            <w:r w:rsidR="00A1615A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  <w:r w:rsidR="001101DE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diğer </w:t>
            </w:r>
            <w:r w:rsidR="00B161A1" w:rsidRPr="004202A8">
              <w:rPr>
                <w:rFonts w:ascii="Verdana" w:hAnsi="Verdana"/>
                <w:sz w:val="18"/>
                <w:szCs w:val="18"/>
                <w:lang w:val="tr-TR"/>
              </w:rPr>
              <w:t>bölgesel araçlardan</w:t>
            </w:r>
            <w:r w:rsidR="001101DE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 önce </w:t>
            </w:r>
            <w:r w:rsidR="00A1615A" w:rsidRPr="004202A8">
              <w:rPr>
                <w:rFonts w:ascii="Verdana" w:hAnsi="Verdana"/>
                <w:sz w:val="18"/>
                <w:szCs w:val="18"/>
                <w:lang w:val="tr-TR"/>
              </w:rPr>
              <w:t>Birleşmiş Milletler Uyuşturucu ve Suç Ofisi</w:t>
            </w:r>
            <w:r w:rsidR="00243632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  <w:r w:rsidR="001101DE" w:rsidRPr="004202A8">
              <w:rPr>
                <w:rFonts w:ascii="Verdana" w:hAnsi="Verdana"/>
                <w:sz w:val="18"/>
                <w:szCs w:val="18"/>
                <w:lang w:val="tr-TR"/>
              </w:rPr>
              <w:t>(</w:t>
            </w:r>
            <w:r w:rsidR="00243632" w:rsidRPr="004202A8">
              <w:rPr>
                <w:rFonts w:ascii="Verdana" w:hAnsi="Verdana"/>
                <w:sz w:val="18"/>
                <w:szCs w:val="18"/>
                <w:lang w:val="tr-TR"/>
              </w:rPr>
              <w:t>UNODC</w:t>
            </w:r>
            <w:r w:rsidR="001101DE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) sözleşmeleri </w:t>
            </w:r>
            <w:r w:rsidR="005B5B3F" w:rsidRPr="004202A8">
              <w:rPr>
                <w:rFonts w:ascii="Verdana" w:hAnsi="Verdana"/>
                <w:sz w:val="18"/>
                <w:szCs w:val="18"/>
                <w:lang w:val="tr-TR"/>
              </w:rPr>
              <w:t>(BM Ulusaşırı Organize Suçla</w:t>
            </w:r>
            <w:r w:rsidR="00B161A1" w:rsidRPr="004202A8">
              <w:rPr>
                <w:rFonts w:ascii="Verdana" w:hAnsi="Verdana"/>
                <w:sz w:val="18"/>
                <w:szCs w:val="18"/>
                <w:lang w:val="tr-TR"/>
              </w:rPr>
              <w:t>rı Önleme</w:t>
            </w:r>
            <w:r w:rsidR="005B5B3F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 Sözleşmesi UNTOC ve BM Yolsuzlu</w:t>
            </w:r>
            <w:r w:rsidR="00B161A1" w:rsidRPr="004202A8">
              <w:rPr>
                <w:rFonts w:ascii="Verdana" w:hAnsi="Verdana"/>
                <w:sz w:val="18"/>
                <w:szCs w:val="18"/>
                <w:lang w:val="tr-TR"/>
              </w:rPr>
              <w:t>kla Mücadele</w:t>
            </w:r>
            <w:r w:rsidR="005B5B3F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  <w:r w:rsidR="00B161A1" w:rsidRPr="004202A8">
              <w:rPr>
                <w:rFonts w:ascii="Verdana" w:hAnsi="Verdana"/>
                <w:sz w:val="18"/>
                <w:szCs w:val="18"/>
                <w:lang w:val="tr-TR"/>
              </w:rPr>
              <w:t>Sözleşmesi</w:t>
            </w:r>
            <w:r w:rsidR="005B5B3F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 UNCAC)</w:t>
            </w:r>
            <w:r w:rsidR="00B161A1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 ve</w:t>
            </w:r>
            <w:r w:rsidR="005B5B3F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 Avrupa Konseyi Sözleşmeleri (Budapeşte Sözleşmesi</w:t>
            </w:r>
            <w:r w:rsidR="006B15C1" w:rsidRPr="004202A8">
              <w:rPr>
                <w:rFonts w:ascii="Verdana" w:hAnsi="Verdana"/>
                <w:sz w:val="18"/>
                <w:szCs w:val="18"/>
                <w:lang w:val="tr-TR"/>
              </w:rPr>
              <w:t>,</w:t>
            </w:r>
            <w:r w:rsidR="005B5B3F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  <w:r w:rsidR="00B161A1" w:rsidRPr="004202A8">
              <w:rPr>
                <w:rFonts w:ascii="Verdana" w:hAnsi="Verdana"/>
                <w:sz w:val="18"/>
                <w:szCs w:val="18"/>
                <w:lang w:val="tr-TR"/>
              </w:rPr>
              <w:t>Cezai İşlerde K</w:t>
            </w:r>
            <w:r w:rsidR="006B15C1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arşılıklı Adli Yardım </w:t>
            </w:r>
            <w:r w:rsidR="00B161A1" w:rsidRPr="004202A8">
              <w:rPr>
                <w:rFonts w:ascii="Verdana" w:hAnsi="Verdana"/>
                <w:sz w:val="18"/>
                <w:szCs w:val="18"/>
                <w:lang w:val="tr-TR"/>
              </w:rPr>
              <w:t>Avrupa Sözleşmesi</w:t>
            </w:r>
            <w:r w:rsidR="006B15C1" w:rsidRPr="004202A8">
              <w:rPr>
                <w:rFonts w:ascii="Verdana" w:hAnsi="Verdana"/>
                <w:sz w:val="18"/>
                <w:szCs w:val="18"/>
                <w:lang w:val="tr-TR"/>
              </w:rPr>
              <w:t>)</w:t>
            </w:r>
            <w:r w:rsidR="00A1615A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  <w:r w:rsidR="006B15C1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ele </w:t>
            </w:r>
            <w:r w:rsidR="00B161A1" w:rsidRPr="004202A8">
              <w:rPr>
                <w:rFonts w:ascii="Verdana" w:hAnsi="Verdana"/>
                <w:sz w:val="18"/>
                <w:szCs w:val="18"/>
                <w:lang w:val="tr-TR"/>
              </w:rPr>
              <w:t>alınmaktadır</w:t>
            </w:r>
            <w:r w:rsidR="006B15C1" w:rsidRPr="004202A8">
              <w:rPr>
                <w:rFonts w:ascii="Verdana" w:hAnsi="Verdana"/>
                <w:sz w:val="18"/>
                <w:szCs w:val="18"/>
                <w:lang w:val="tr-TR"/>
              </w:rPr>
              <w:t>.</w:t>
            </w:r>
            <w:r w:rsidR="00A1615A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  <w:r w:rsidR="006B15C1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Bu bölüm bir anketle </w:t>
            </w:r>
            <w:r w:rsidR="00B161A1" w:rsidRPr="004202A8">
              <w:rPr>
                <w:rFonts w:ascii="Verdana" w:hAnsi="Verdana"/>
                <w:sz w:val="18"/>
                <w:szCs w:val="18"/>
                <w:lang w:val="tr-TR"/>
              </w:rPr>
              <w:t>sorusuyla sona er</w:t>
            </w:r>
            <w:r w:rsidR="00751BE8" w:rsidRPr="004202A8">
              <w:rPr>
                <w:rFonts w:ascii="Verdana" w:hAnsi="Verdana"/>
                <w:sz w:val="18"/>
                <w:szCs w:val="18"/>
                <w:lang w:val="tr-TR"/>
              </w:rPr>
              <w:t>mektedir</w:t>
            </w:r>
            <w:r w:rsidR="006B15C1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. </w:t>
            </w:r>
          </w:p>
        </w:tc>
      </w:tr>
      <w:tr w:rsidR="00164D60" w:rsidRPr="004202A8" w14:paraId="30E5C795" w14:textId="77777777" w:rsidTr="000821F5">
        <w:trPr>
          <w:trHeight w:val="79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9F3B1" w14:textId="77777777" w:rsidR="00164D60" w:rsidRPr="004202A8" w:rsidRDefault="00A1615A" w:rsidP="004202A8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>167 -</w:t>
            </w:r>
            <w:r w:rsidR="00164D60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 175</w:t>
            </w:r>
          </w:p>
          <w:p w14:paraId="2496BAA0" w14:textId="77777777" w:rsidR="00164D60" w:rsidRPr="004202A8" w:rsidRDefault="000821F5" w:rsidP="004202A8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Zorunlu </w:t>
            </w:r>
            <w:r w:rsidR="00A1615A" w:rsidRPr="004202A8">
              <w:rPr>
                <w:rFonts w:ascii="Verdana" w:hAnsi="Verdana"/>
                <w:sz w:val="18"/>
                <w:szCs w:val="18"/>
                <w:lang w:val="tr-TR"/>
              </w:rPr>
              <w:t>Slaytlar</w:t>
            </w:r>
          </w:p>
        </w:tc>
        <w:tc>
          <w:tcPr>
            <w:tcW w:w="7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24033" w14:textId="77777777" w:rsidR="00164D60" w:rsidRPr="004202A8" w:rsidRDefault="00E15630" w:rsidP="004202A8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tr-TR"/>
              </w:rPr>
            </w:pP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Bu slaytlar Budapeşte Sözleşmesinin </w:t>
            </w:r>
            <w:r w:rsidR="00751BE8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kapsamına ve </w:t>
            </w: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faaliyet alanına ilişkin </w:t>
            </w:r>
            <w:r w:rsidR="00751BE8" w:rsidRPr="004202A8">
              <w:rPr>
                <w:rFonts w:ascii="Verdana" w:hAnsi="Verdana"/>
                <w:sz w:val="18"/>
                <w:szCs w:val="18"/>
                <w:lang w:val="tr-TR"/>
              </w:rPr>
              <w:t>bilgi vermektedir</w:t>
            </w: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>.</w:t>
            </w:r>
            <w:r w:rsidR="00164D60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  <w:r w:rsidR="00751BE8" w:rsidRPr="004202A8">
              <w:rPr>
                <w:rFonts w:ascii="Verdana" w:hAnsi="Verdana"/>
                <w:sz w:val="18"/>
                <w:szCs w:val="18"/>
                <w:lang w:val="tr-TR"/>
              </w:rPr>
              <w:t>Slaytlarda</w:t>
            </w: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 Budapeşte Sözleşmesinin “üç</w:t>
            </w:r>
            <w:r w:rsidR="00751BE8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ayağı”  </w:t>
            </w:r>
            <w:r w:rsidR="00751BE8" w:rsidRPr="004202A8">
              <w:rPr>
                <w:rFonts w:ascii="Verdana" w:hAnsi="Verdana"/>
                <w:sz w:val="18"/>
                <w:szCs w:val="18"/>
                <w:lang w:val="tr-TR"/>
              </w:rPr>
              <w:t>sunulmaktadır</w:t>
            </w: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 (mesela suç oluşturan davranış</w:t>
            </w:r>
            <w:r w:rsidR="00BD4353" w:rsidRPr="004202A8">
              <w:rPr>
                <w:rFonts w:ascii="Verdana" w:hAnsi="Verdana"/>
                <w:sz w:val="18"/>
                <w:szCs w:val="18"/>
                <w:lang w:val="tr-TR"/>
              </w:rPr>
              <w:t>, yargı usulleri ve uluslararası işbirliği)</w:t>
            </w: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>.</w:t>
            </w:r>
            <w:r w:rsidR="00BD4353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  <w:r w:rsidR="00C0653E" w:rsidRPr="004202A8">
              <w:rPr>
                <w:rFonts w:ascii="Verdana" w:hAnsi="Verdana"/>
                <w:sz w:val="18"/>
                <w:szCs w:val="18"/>
                <w:lang w:val="tr-TR"/>
              </w:rPr>
              <w:t>Eğitici ilk iki ayağın bu oturumun ilk bölümünde ele alındığını ve bu eğitimin en ön</w:t>
            </w:r>
            <w:r w:rsidR="00DF419B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emli ayağı olan uluslararası işbirliğinin bir sonraki gün ele alınacağını açıklayabilir. Bu bölüm Budapeşte Sözleşmesinin uluslararası işbirliği hükümlerini özetleyen slaytla </w:t>
            </w:r>
            <w:r w:rsidR="00751BE8" w:rsidRPr="004202A8">
              <w:rPr>
                <w:rFonts w:ascii="Verdana" w:hAnsi="Verdana"/>
                <w:sz w:val="18"/>
                <w:szCs w:val="18"/>
                <w:lang w:val="tr-TR"/>
              </w:rPr>
              <w:t>bitmektedir</w:t>
            </w:r>
            <w:r w:rsidR="00DF419B" w:rsidRPr="004202A8">
              <w:rPr>
                <w:rFonts w:ascii="Verdana" w:hAnsi="Verdana"/>
                <w:sz w:val="18"/>
                <w:szCs w:val="18"/>
                <w:lang w:val="tr-TR"/>
              </w:rPr>
              <w:t>.</w:t>
            </w:r>
          </w:p>
        </w:tc>
      </w:tr>
      <w:tr w:rsidR="00164D60" w:rsidRPr="004202A8" w14:paraId="758405D3" w14:textId="77777777" w:rsidTr="000821F5">
        <w:trPr>
          <w:trHeight w:val="79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67DE9" w14:textId="77777777" w:rsidR="00164D60" w:rsidRPr="004202A8" w:rsidRDefault="00A1615A" w:rsidP="004202A8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176 - </w:t>
            </w:r>
            <w:r w:rsidR="00164D60" w:rsidRPr="004202A8">
              <w:rPr>
                <w:rFonts w:ascii="Verdana" w:hAnsi="Verdana"/>
                <w:sz w:val="18"/>
                <w:szCs w:val="18"/>
                <w:lang w:val="tr-TR"/>
              </w:rPr>
              <w:t>184</w:t>
            </w:r>
          </w:p>
          <w:p w14:paraId="31B94B3B" w14:textId="77777777" w:rsidR="00164D60" w:rsidRPr="004202A8" w:rsidRDefault="000821F5" w:rsidP="004202A8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Zorunlu </w:t>
            </w:r>
            <w:r w:rsidR="00A1615A" w:rsidRPr="004202A8">
              <w:rPr>
                <w:rFonts w:ascii="Verdana" w:hAnsi="Verdana"/>
                <w:sz w:val="18"/>
                <w:szCs w:val="18"/>
                <w:lang w:val="tr-TR"/>
              </w:rPr>
              <w:t>Slaytlar</w:t>
            </w:r>
          </w:p>
        </w:tc>
        <w:tc>
          <w:tcPr>
            <w:tcW w:w="7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7EC61" w14:textId="77777777" w:rsidR="00164D60" w:rsidRPr="004202A8" w:rsidRDefault="00174C5B" w:rsidP="004202A8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tr-TR"/>
              </w:rPr>
            </w:pP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>Bu slaytlar</w:t>
            </w:r>
            <w:r w:rsidR="00B64F60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, </w:t>
            </w: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Budapeşte Sözleşmesinin </w:t>
            </w:r>
            <w:r w:rsidR="00751BE8" w:rsidRPr="004202A8">
              <w:rPr>
                <w:rFonts w:ascii="Verdana" w:hAnsi="Verdana"/>
                <w:sz w:val="18"/>
                <w:szCs w:val="18"/>
                <w:lang w:val="tr-TR"/>
              </w:rPr>
              <w:t>İ</w:t>
            </w: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kinci </w:t>
            </w:r>
            <w:r w:rsidR="00751BE8" w:rsidRPr="004202A8">
              <w:rPr>
                <w:rFonts w:ascii="Verdana" w:hAnsi="Verdana"/>
                <w:sz w:val="18"/>
                <w:szCs w:val="18"/>
                <w:lang w:val="tr-TR"/>
              </w:rPr>
              <w:t>E</w:t>
            </w: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k </w:t>
            </w:r>
            <w:r w:rsidR="00751BE8" w:rsidRPr="004202A8">
              <w:rPr>
                <w:rFonts w:ascii="Verdana" w:hAnsi="Verdana"/>
                <w:sz w:val="18"/>
                <w:szCs w:val="18"/>
                <w:lang w:val="tr-TR"/>
              </w:rPr>
              <w:t>P</w:t>
            </w: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>rotokolün</w:t>
            </w:r>
            <w:r w:rsidR="00751BE8" w:rsidRPr="004202A8">
              <w:rPr>
                <w:rFonts w:ascii="Verdana" w:hAnsi="Verdana"/>
                <w:sz w:val="18"/>
                <w:szCs w:val="18"/>
                <w:lang w:val="tr-TR"/>
              </w:rPr>
              <w:t>e değinmektedir</w:t>
            </w: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. </w:t>
            </w:r>
            <w:r w:rsidR="001444EE" w:rsidRPr="004202A8">
              <w:rPr>
                <w:rFonts w:ascii="Verdana" w:hAnsi="Verdana"/>
                <w:sz w:val="18"/>
                <w:szCs w:val="18"/>
                <w:lang w:val="tr-TR"/>
              </w:rPr>
              <w:t>Slaytlar</w:t>
            </w:r>
            <w:r w:rsidR="00B64F60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 Taslak Protokol Grubun</w:t>
            </w:r>
            <w:r w:rsidR="00751BE8" w:rsidRPr="004202A8">
              <w:rPr>
                <w:rFonts w:ascii="Verdana" w:hAnsi="Verdana"/>
                <w:sz w:val="18"/>
                <w:szCs w:val="18"/>
                <w:lang w:val="tr-TR"/>
              </w:rPr>
              <w:t>a değinmeden</w:t>
            </w:r>
            <w:r w:rsidR="00B64F60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 önce</w:t>
            </w:r>
            <w:r w:rsidR="001444EE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  <w:r w:rsidR="00E91458" w:rsidRPr="004202A8">
              <w:rPr>
                <w:rFonts w:ascii="Verdana" w:hAnsi="Verdana"/>
                <w:sz w:val="18"/>
                <w:szCs w:val="18"/>
                <w:lang w:val="tr-TR"/>
              </w:rPr>
              <w:t>Sınır Ötesi</w:t>
            </w:r>
            <w:r w:rsidR="00B64F60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 Çalışma </w:t>
            </w:r>
            <w:r w:rsidR="00751BE8" w:rsidRPr="004202A8">
              <w:rPr>
                <w:rFonts w:ascii="Verdana" w:hAnsi="Verdana"/>
                <w:sz w:val="18"/>
                <w:szCs w:val="18"/>
                <w:lang w:val="tr-TR"/>
              </w:rPr>
              <w:t>G</w:t>
            </w:r>
            <w:r w:rsidR="00B64F60" w:rsidRPr="004202A8">
              <w:rPr>
                <w:rFonts w:ascii="Verdana" w:hAnsi="Verdana"/>
                <w:sz w:val="18"/>
                <w:szCs w:val="18"/>
                <w:lang w:val="tr-TR"/>
              </w:rPr>
              <w:t>rubu ve Bulut Kanıt</w:t>
            </w:r>
            <w:r w:rsidR="00751BE8" w:rsidRPr="004202A8">
              <w:rPr>
                <w:rFonts w:ascii="Verdana" w:hAnsi="Verdana"/>
                <w:sz w:val="18"/>
                <w:szCs w:val="18"/>
                <w:lang w:val="tr-TR"/>
              </w:rPr>
              <w:t>ları</w:t>
            </w:r>
            <w:r w:rsidR="00B64F60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 Grubu protokollerinin</w:t>
            </w:r>
            <w:r w:rsidR="002C2927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 kısa </w:t>
            </w:r>
            <w:r w:rsidR="00751BE8" w:rsidRPr="004202A8">
              <w:rPr>
                <w:rFonts w:ascii="Verdana" w:hAnsi="Verdana"/>
                <w:sz w:val="18"/>
                <w:szCs w:val="18"/>
                <w:lang w:val="tr-TR"/>
              </w:rPr>
              <w:t>bir geçmişini içermektedir.</w:t>
            </w:r>
            <w:r w:rsidR="00B64F60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  <w:r w:rsidR="00B9059B" w:rsidRPr="004202A8">
              <w:rPr>
                <w:rFonts w:ascii="Verdana" w:hAnsi="Verdana"/>
                <w:sz w:val="18"/>
                <w:szCs w:val="18"/>
                <w:lang w:val="tr-TR"/>
              </w:rPr>
              <w:t>Bu</w:t>
            </w:r>
            <w:r w:rsidR="00751BE8" w:rsidRPr="004202A8">
              <w:rPr>
                <w:rFonts w:ascii="Verdana" w:hAnsi="Verdana"/>
                <w:sz w:val="18"/>
                <w:szCs w:val="18"/>
                <w:lang w:val="tr-TR"/>
              </w:rPr>
              <w:t>nunla</w:t>
            </w:r>
            <w:r w:rsidR="00B9059B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 katılımcılara İkinci Ek Protokolün kapsamı hakkında fikir verme</w:t>
            </w:r>
            <w:r w:rsidR="00751BE8" w:rsidRPr="004202A8">
              <w:rPr>
                <w:rFonts w:ascii="Verdana" w:hAnsi="Verdana"/>
                <w:sz w:val="18"/>
                <w:szCs w:val="18"/>
                <w:lang w:val="tr-TR"/>
              </w:rPr>
              <w:t>k</w:t>
            </w:r>
            <w:r w:rsidR="00B9059B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  <w:r w:rsidR="00751BE8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amaçlanırken </w:t>
            </w:r>
            <w:r w:rsidR="00B9059B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İkinci Ek Protokolün gidişatının </w:t>
            </w:r>
            <w:r w:rsidR="00751BE8" w:rsidRPr="004202A8">
              <w:rPr>
                <w:rFonts w:ascii="Verdana" w:hAnsi="Verdana"/>
                <w:sz w:val="18"/>
                <w:szCs w:val="18"/>
                <w:lang w:val="tr-TR"/>
              </w:rPr>
              <w:t>doğru şekilde</w:t>
            </w:r>
            <w:r w:rsidR="00B9059B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 yansıtılması için bu slaytların her sunumdan önce güncellenmesi önemli</w:t>
            </w:r>
            <w:r w:rsidR="00751BE8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 olacaktır</w:t>
            </w:r>
            <w:r w:rsidR="00B9059B" w:rsidRPr="004202A8">
              <w:rPr>
                <w:rFonts w:ascii="Verdana" w:hAnsi="Verdana"/>
                <w:sz w:val="18"/>
                <w:szCs w:val="18"/>
                <w:lang w:val="tr-TR"/>
              </w:rPr>
              <w:t>.</w:t>
            </w:r>
            <w:r w:rsidR="000A1276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 Bu bölüm basit bir anket</w:t>
            </w:r>
            <w:r w:rsidR="00751BE8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 sorusuyla</w:t>
            </w:r>
            <w:r w:rsidR="000A1276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 son </w:t>
            </w:r>
            <w:r w:rsidR="00751BE8" w:rsidRPr="004202A8">
              <w:rPr>
                <w:rFonts w:ascii="Verdana" w:hAnsi="Verdana"/>
                <w:sz w:val="18"/>
                <w:szCs w:val="18"/>
                <w:lang w:val="tr-TR"/>
              </w:rPr>
              <w:t>bulmaktadır</w:t>
            </w:r>
            <w:r w:rsidR="000A1276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. </w:t>
            </w:r>
            <w:r w:rsidR="00B9059B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  </w:t>
            </w:r>
          </w:p>
        </w:tc>
      </w:tr>
      <w:tr w:rsidR="00164D60" w:rsidRPr="004202A8" w14:paraId="3ABDA091" w14:textId="77777777" w:rsidTr="000821F5">
        <w:trPr>
          <w:trHeight w:val="89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05F85" w14:textId="77777777" w:rsidR="00164D60" w:rsidRPr="004202A8" w:rsidRDefault="00164D60" w:rsidP="004202A8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>185 – 187</w:t>
            </w:r>
          </w:p>
          <w:p w14:paraId="0EBD5280" w14:textId="77777777" w:rsidR="00164D60" w:rsidRPr="004202A8" w:rsidRDefault="00A1615A" w:rsidP="004202A8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tr-TR"/>
              </w:rPr>
            </w:pP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>Önemli Slaytlar</w:t>
            </w:r>
          </w:p>
        </w:tc>
        <w:tc>
          <w:tcPr>
            <w:tcW w:w="7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2C288" w14:textId="77777777" w:rsidR="00164D60" w:rsidRPr="004202A8" w:rsidRDefault="005A2D53" w:rsidP="004202A8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tr-TR"/>
              </w:rPr>
            </w:pP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>Eğit</w:t>
            </w:r>
            <w:r w:rsidR="00284757" w:rsidRPr="004202A8">
              <w:rPr>
                <w:rFonts w:ascii="Verdana" w:hAnsi="Verdana"/>
                <w:sz w:val="18"/>
                <w:szCs w:val="18"/>
                <w:lang w:val="tr-TR"/>
              </w:rPr>
              <w:t>i</w:t>
            </w: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ci, </w:t>
            </w:r>
            <w:r w:rsidR="00284757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öğrenme hedeflerini katılımcılarla birlikte tekrar gözden geçirmeli </w:t>
            </w: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>ve</w:t>
            </w:r>
            <w:r w:rsidR="00284757"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 katılımcılara</w:t>
            </w: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 </w:t>
            </w:r>
            <w:r w:rsidR="00284757" w:rsidRPr="004202A8">
              <w:rPr>
                <w:rFonts w:ascii="Verdana" w:hAnsi="Verdana"/>
                <w:sz w:val="18"/>
                <w:szCs w:val="18"/>
                <w:lang w:val="tr-TR"/>
              </w:rPr>
              <w:t>bu modülde sunulan konulara</w:t>
            </w: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 ilişkin soru sormaları için </w:t>
            </w:r>
            <w:r w:rsidR="00284757" w:rsidRPr="004202A8">
              <w:rPr>
                <w:rFonts w:ascii="Verdana" w:hAnsi="Verdana"/>
                <w:sz w:val="18"/>
                <w:szCs w:val="18"/>
                <w:lang w:val="tr-TR"/>
              </w:rPr>
              <w:t>fırsat vermelidir</w:t>
            </w:r>
            <w:r w:rsidRPr="004202A8">
              <w:rPr>
                <w:rFonts w:ascii="Verdana" w:hAnsi="Verdana"/>
                <w:sz w:val="18"/>
                <w:szCs w:val="18"/>
                <w:lang w:val="tr-TR"/>
              </w:rPr>
              <w:t xml:space="preserve">. </w:t>
            </w:r>
          </w:p>
        </w:tc>
      </w:tr>
      <w:tr w:rsidR="00164D60" w:rsidRPr="004202A8" w14:paraId="7A2185DD" w14:textId="77777777" w:rsidTr="000821F5">
        <w:trPr>
          <w:trHeight w:val="890"/>
        </w:trPr>
        <w:tc>
          <w:tcPr>
            <w:tcW w:w="9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5A741" w14:textId="77777777" w:rsidR="00164D60" w:rsidRPr="004202A8" w:rsidRDefault="00B268D0" w:rsidP="004202A8">
            <w:pPr>
              <w:spacing w:before="120" w:after="120" w:line="260" w:lineRule="atLeast"/>
              <w:rPr>
                <w:rFonts w:ascii="Verdana" w:hAnsi="Verdana"/>
                <w:b/>
                <w:lang w:val="tr-TR"/>
              </w:rPr>
            </w:pPr>
            <w:r w:rsidRPr="004202A8">
              <w:rPr>
                <w:rFonts w:ascii="Verdana" w:hAnsi="Verdana"/>
                <w:b/>
                <w:lang w:val="tr-TR"/>
              </w:rPr>
              <w:t xml:space="preserve">Uygulamalı </w:t>
            </w:r>
            <w:r w:rsidR="000821F5" w:rsidRPr="004202A8">
              <w:rPr>
                <w:rFonts w:ascii="Verdana" w:hAnsi="Verdana"/>
                <w:b/>
                <w:lang w:val="tr-TR"/>
              </w:rPr>
              <w:t>Egzersizler</w:t>
            </w:r>
          </w:p>
          <w:p w14:paraId="14AE3485" w14:textId="77777777" w:rsidR="00164D60" w:rsidRPr="004202A8" w:rsidRDefault="00B268D0" w:rsidP="004202A8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  <w:lang w:val="tr-TR"/>
              </w:rPr>
            </w:pPr>
            <w:r w:rsidRPr="004202A8">
              <w:rPr>
                <w:rFonts w:ascii="Verdana" w:hAnsi="Verdana"/>
                <w:color w:val="000000"/>
                <w:sz w:val="18"/>
                <w:szCs w:val="18"/>
                <w:lang w:val="tr-TR"/>
              </w:rPr>
              <w:t xml:space="preserve">Bu </w:t>
            </w:r>
            <w:r w:rsidR="000821F5" w:rsidRPr="004202A8">
              <w:rPr>
                <w:rFonts w:ascii="Verdana" w:hAnsi="Verdana"/>
                <w:color w:val="000000"/>
                <w:sz w:val="18"/>
                <w:szCs w:val="18"/>
                <w:lang w:val="tr-TR"/>
              </w:rPr>
              <w:t xml:space="preserve">ders </w:t>
            </w:r>
            <w:r w:rsidRPr="004202A8">
              <w:rPr>
                <w:rFonts w:ascii="Verdana" w:hAnsi="Verdana"/>
                <w:color w:val="000000"/>
                <w:sz w:val="18"/>
                <w:szCs w:val="18"/>
                <w:lang w:val="tr-TR"/>
              </w:rPr>
              <w:t xml:space="preserve">için uygulamalı </w:t>
            </w:r>
            <w:r w:rsidR="000821F5" w:rsidRPr="004202A8">
              <w:rPr>
                <w:rFonts w:ascii="Verdana" w:hAnsi="Verdana"/>
                <w:color w:val="000000"/>
                <w:sz w:val="18"/>
                <w:szCs w:val="18"/>
                <w:lang w:val="tr-TR"/>
              </w:rPr>
              <w:t xml:space="preserve">egzersiz </w:t>
            </w:r>
            <w:r w:rsidRPr="004202A8">
              <w:rPr>
                <w:rFonts w:ascii="Verdana" w:hAnsi="Verdana"/>
                <w:color w:val="000000"/>
                <w:sz w:val="18"/>
                <w:szCs w:val="18"/>
                <w:lang w:val="tr-TR"/>
              </w:rPr>
              <w:t>öngörülm</w:t>
            </w:r>
            <w:r w:rsidR="000821F5" w:rsidRPr="004202A8">
              <w:rPr>
                <w:rFonts w:ascii="Verdana" w:hAnsi="Verdana"/>
                <w:color w:val="000000"/>
                <w:sz w:val="18"/>
                <w:szCs w:val="18"/>
                <w:lang w:val="tr-TR"/>
              </w:rPr>
              <w:t>emektedir</w:t>
            </w:r>
            <w:r w:rsidRPr="004202A8">
              <w:rPr>
                <w:rFonts w:ascii="Verdana" w:hAnsi="Verdana"/>
                <w:color w:val="000000"/>
                <w:sz w:val="18"/>
                <w:szCs w:val="18"/>
                <w:lang w:val="tr-TR"/>
              </w:rPr>
              <w:t xml:space="preserve">. </w:t>
            </w:r>
          </w:p>
        </w:tc>
      </w:tr>
      <w:tr w:rsidR="00164D60" w:rsidRPr="004202A8" w14:paraId="36FBA0B7" w14:textId="77777777" w:rsidTr="000821F5">
        <w:tc>
          <w:tcPr>
            <w:tcW w:w="9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96E49" w14:textId="77777777" w:rsidR="00164D60" w:rsidRPr="004202A8" w:rsidRDefault="00B268D0" w:rsidP="004202A8">
            <w:pPr>
              <w:spacing w:before="120" w:after="120" w:line="260" w:lineRule="atLeast"/>
              <w:rPr>
                <w:rFonts w:ascii="Verdana" w:hAnsi="Verdana"/>
                <w:b/>
                <w:lang w:val="tr-TR"/>
              </w:rPr>
            </w:pPr>
            <w:r w:rsidRPr="004202A8">
              <w:rPr>
                <w:rFonts w:ascii="Verdana" w:hAnsi="Verdana"/>
                <w:b/>
                <w:lang w:val="tr-TR"/>
              </w:rPr>
              <w:t>Değerlendirme/Bilgi Kontrolü</w:t>
            </w:r>
          </w:p>
          <w:p w14:paraId="31A8E23A" w14:textId="77777777" w:rsidR="00164D60" w:rsidRPr="004202A8" w:rsidRDefault="00B268D0" w:rsidP="004202A8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  <w:lang w:val="tr-TR"/>
              </w:rPr>
            </w:pPr>
            <w:r w:rsidRPr="004202A8">
              <w:rPr>
                <w:rFonts w:ascii="Verdana" w:hAnsi="Verdana"/>
                <w:color w:val="000000"/>
                <w:sz w:val="18"/>
                <w:szCs w:val="18"/>
                <w:lang w:val="tr-TR"/>
              </w:rPr>
              <w:t xml:space="preserve">Bu oturum için bilgi kontrolü </w:t>
            </w:r>
            <w:r w:rsidR="000821F5" w:rsidRPr="004202A8">
              <w:rPr>
                <w:rFonts w:ascii="Verdana" w:hAnsi="Verdana"/>
                <w:color w:val="000000"/>
                <w:sz w:val="18"/>
                <w:szCs w:val="18"/>
                <w:lang w:val="tr-TR"/>
              </w:rPr>
              <w:t>veya</w:t>
            </w:r>
            <w:r w:rsidRPr="004202A8">
              <w:rPr>
                <w:rFonts w:ascii="Verdana" w:hAnsi="Verdana"/>
                <w:color w:val="000000"/>
                <w:sz w:val="18"/>
                <w:szCs w:val="18"/>
                <w:lang w:val="tr-TR"/>
              </w:rPr>
              <w:t xml:space="preserve"> değerlendirme istenme</w:t>
            </w:r>
            <w:r w:rsidR="000821F5" w:rsidRPr="004202A8">
              <w:rPr>
                <w:rFonts w:ascii="Verdana" w:hAnsi="Verdana"/>
                <w:color w:val="000000"/>
                <w:sz w:val="18"/>
                <w:szCs w:val="18"/>
                <w:lang w:val="tr-TR"/>
              </w:rPr>
              <w:t>miştir</w:t>
            </w:r>
            <w:r w:rsidRPr="004202A8">
              <w:rPr>
                <w:rFonts w:ascii="Verdana" w:hAnsi="Verdana"/>
                <w:color w:val="000000"/>
                <w:sz w:val="18"/>
                <w:szCs w:val="18"/>
                <w:lang w:val="tr-TR"/>
              </w:rPr>
              <w:t>.</w:t>
            </w:r>
          </w:p>
        </w:tc>
      </w:tr>
      <w:tr w:rsidR="00164D60" w:rsidRPr="004202A8" w14:paraId="39937321" w14:textId="77777777" w:rsidTr="000821F5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51578E" w14:textId="77777777" w:rsidR="00164D60" w:rsidRPr="004202A8" w:rsidRDefault="00164D60" w:rsidP="004202A8">
            <w:pPr>
              <w:spacing w:before="120" w:after="120" w:line="260" w:lineRule="atLeast"/>
              <w:rPr>
                <w:rFonts w:ascii="Verdana" w:hAnsi="Verdana"/>
                <w:lang w:val="tr-TR"/>
              </w:rPr>
            </w:pP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98E2F0" w14:textId="77777777" w:rsidR="00164D60" w:rsidRPr="004202A8" w:rsidRDefault="00164D60" w:rsidP="004202A8">
            <w:pPr>
              <w:spacing w:before="120" w:after="120" w:line="260" w:lineRule="atLeast"/>
              <w:rPr>
                <w:rFonts w:ascii="Verdana" w:hAnsi="Verdana"/>
                <w:lang w:val="tr-TR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46F0E0" w14:textId="77777777" w:rsidR="00164D60" w:rsidRPr="004202A8" w:rsidRDefault="00164D60" w:rsidP="004202A8">
            <w:pPr>
              <w:spacing w:before="120" w:after="120" w:line="260" w:lineRule="atLeast"/>
              <w:rPr>
                <w:rFonts w:ascii="Verdana" w:hAnsi="Verdana"/>
                <w:lang w:val="tr-TR"/>
              </w:rPr>
            </w:pPr>
          </w:p>
        </w:tc>
      </w:tr>
    </w:tbl>
    <w:p w14:paraId="68B483D7" w14:textId="77777777" w:rsidR="00164D60" w:rsidRPr="004202A8" w:rsidRDefault="00164D60" w:rsidP="004202A8">
      <w:pPr>
        <w:spacing w:before="120" w:after="120" w:line="260" w:lineRule="atLeast"/>
        <w:rPr>
          <w:rFonts w:ascii="Verdana" w:eastAsia="Calibri" w:hAnsi="Verdana" w:cs="Times New Roman"/>
          <w:sz w:val="24"/>
          <w:szCs w:val="24"/>
        </w:rPr>
      </w:pPr>
    </w:p>
    <w:p w14:paraId="7032BA8D" w14:textId="77777777" w:rsidR="0008125B" w:rsidRPr="004202A8" w:rsidRDefault="0008125B" w:rsidP="004202A8">
      <w:pPr>
        <w:spacing w:before="120" w:after="120" w:line="260" w:lineRule="atLeast"/>
        <w:rPr>
          <w:rFonts w:ascii="Verdana" w:hAnsi="Verdana"/>
        </w:rPr>
      </w:pPr>
    </w:p>
    <w:sectPr w:rsidR="0008125B" w:rsidRPr="004202A8" w:rsidSect="009E33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E26929"/>
    <w:multiLevelType w:val="hybridMultilevel"/>
    <w:tmpl w:val="3D1011D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4797"/>
    <w:rsid w:val="00066B87"/>
    <w:rsid w:val="00077E83"/>
    <w:rsid w:val="0008125B"/>
    <w:rsid w:val="000821F5"/>
    <w:rsid w:val="00086B79"/>
    <w:rsid w:val="00093CE1"/>
    <w:rsid w:val="000A1276"/>
    <w:rsid w:val="000B0F8C"/>
    <w:rsid w:val="001101DE"/>
    <w:rsid w:val="001444EE"/>
    <w:rsid w:val="00164D60"/>
    <w:rsid w:val="00174C5B"/>
    <w:rsid w:val="00210413"/>
    <w:rsid w:val="00214389"/>
    <w:rsid w:val="00243632"/>
    <w:rsid w:val="00245E34"/>
    <w:rsid w:val="00284757"/>
    <w:rsid w:val="002C2927"/>
    <w:rsid w:val="002F58A5"/>
    <w:rsid w:val="00320EB4"/>
    <w:rsid w:val="003535DF"/>
    <w:rsid w:val="00355F29"/>
    <w:rsid w:val="00365BF2"/>
    <w:rsid w:val="00394B4E"/>
    <w:rsid w:val="0040054A"/>
    <w:rsid w:val="004007E2"/>
    <w:rsid w:val="004202A8"/>
    <w:rsid w:val="00440CF2"/>
    <w:rsid w:val="00464E45"/>
    <w:rsid w:val="004F4F82"/>
    <w:rsid w:val="00514448"/>
    <w:rsid w:val="00520A32"/>
    <w:rsid w:val="00526BE3"/>
    <w:rsid w:val="00575350"/>
    <w:rsid w:val="00587C3B"/>
    <w:rsid w:val="00591630"/>
    <w:rsid w:val="005A2D53"/>
    <w:rsid w:val="005B5B3F"/>
    <w:rsid w:val="005E32D5"/>
    <w:rsid w:val="0060498A"/>
    <w:rsid w:val="00605D1D"/>
    <w:rsid w:val="00606D8A"/>
    <w:rsid w:val="00626F21"/>
    <w:rsid w:val="00631513"/>
    <w:rsid w:val="006323CA"/>
    <w:rsid w:val="00696798"/>
    <w:rsid w:val="006B15C1"/>
    <w:rsid w:val="00751BE8"/>
    <w:rsid w:val="007750FB"/>
    <w:rsid w:val="007D222C"/>
    <w:rsid w:val="007F2154"/>
    <w:rsid w:val="007F4797"/>
    <w:rsid w:val="00806723"/>
    <w:rsid w:val="00822D2A"/>
    <w:rsid w:val="00827E60"/>
    <w:rsid w:val="0083164E"/>
    <w:rsid w:val="00865C2D"/>
    <w:rsid w:val="00985DBE"/>
    <w:rsid w:val="009C223B"/>
    <w:rsid w:val="009E33DF"/>
    <w:rsid w:val="00A1615A"/>
    <w:rsid w:val="00A30053"/>
    <w:rsid w:val="00A36B6F"/>
    <w:rsid w:val="00A8398D"/>
    <w:rsid w:val="00A8654C"/>
    <w:rsid w:val="00A87913"/>
    <w:rsid w:val="00AC3C10"/>
    <w:rsid w:val="00B10BB3"/>
    <w:rsid w:val="00B161A1"/>
    <w:rsid w:val="00B268D0"/>
    <w:rsid w:val="00B3322A"/>
    <w:rsid w:val="00B64F60"/>
    <w:rsid w:val="00B9059B"/>
    <w:rsid w:val="00BA10FC"/>
    <w:rsid w:val="00BD4353"/>
    <w:rsid w:val="00C0653E"/>
    <w:rsid w:val="00C47155"/>
    <w:rsid w:val="00C64F1D"/>
    <w:rsid w:val="00C95319"/>
    <w:rsid w:val="00C96BFA"/>
    <w:rsid w:val="00CC4701"/>
    <w:rsid w:val="00CD360D"/>
    <w:rsid w:val="00D06955"/>
    <w:rsid w:val="00D62ED1"/>
    <w:rsid w:val="00D732A3"/>
    <w:rsid w:val="00DB1B64"/>
    <w:rsid w:val="00DF419B"/>
    <w:rsid w:val="00E028E6"/>
    <w:rsid w:val="00E15630"/>
    <w:rsid w:val="00E2285E"/>
    <w:rsid w:val="00E27312"/>
    <w:rsid w:val="00E91458"/>
    <w:rsid w:val="00EB10EF"/>
    <w:rsid w:val="00EB5BF0"/>
    <w:rsid w:val="00EF4C0E"/>
    <w:rsid w:val="00F2276A"/>
    <w:rsid w:val="00F849B9"/>
    <w:rsid w:val="00FE4F65"/>
    <w:rsid w:val="00FE7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871143"/>
  <w15:docId w15:val="{D93F04BE-8349-4D85-8C70-176667328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33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64D60"/>
    <w:pPr>
      <w:spacing w:after="0" w:line="240" w:lineRule="auto"/>
    </w:pPr>
    <w:rPr>
      <w:rFonts w:ascii="Calibri" w:eastAsia="Calibri" w:hAnsi="Calibri" w:cs="Times New Roman"/>
      <w:sz w:val="24"/>
      <w:szCs w:val="24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82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21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64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01863-C1A3-4F5A-8C12-0415B0900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1161</Words>
  <Characters>6624</Characters>
  <Application>Microsoft Office Word</Application>
  <DocSecurity>0</DocSecurity>
  <Lines>55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ERENOGLU CONSULTANCY TRANSLATION</dc:creator>
  <cp:keywords/>
  <dc:description>ERENOGLU CONSULTANCY TRANSLATION_x000d_
GSM    : (+90 532) 235 58 23_x000d_
Tel         : (+90 312) 441 91 00 (pbx)_x000d_
Web      : www.erenoglu.com.tr_x000d_
e-mail   : erenoglu@erenoglu.com.tr_x000d_
ANKARA – TURKIYE (TURKEY)_x000d_
</dc:description>
  <cp:lastModifiedBy>CEAUSU Diana</cp:lastModifiedBy>
  <cp:revision>8</cp:revision>
  <dcterms:created xsi:type="dcterms:W3CDTF">2021-04-08T11:10:00Z</dcterms:created>
  <dcterms:modified xsi:type="dcterms:W3CDTF">2021-05-04T12:02:00Z</dcterms:modified>
</cp:coreProperties>
</file>